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7699A" w14:textId="5328CC72" w:rsidR="000E23A6" w:rsidRPr="00841BCD" w:rsidRDefault="000E23A6" w:rsidP="000E23A6">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#91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Pr>
          <w:rFonts w:ascii="Arial" w:eastAsia="SimSun" w:hAnsi="Arial" w:cs="Times New Roman"/>
          <w:b/>
          <w:bCs/>
          <w:sz w:val="24"/>
          <w:szCs w:val="20"/>
          <w:lang w:val="en-GB" w:eastAsia="zh-CN"/>
        </w:rPr>
        <w:t>19</w:t>
      </w:r>
      <w:r w:rsidR="00214E5E">
        <w:rPr>
          <w:rFonts w:ascii="Arial" w:eastAsia="SimSun" w:hAnsi="Arial" w:cs="Times New Roman"/>
          <w:b/>
          <w:bCs/>
          <w:sz w:val="24"/>
          <w:szCs w:val="20"/>
          <w:lang w:val="en-GB" w:eastAsia="zh-CN"/>
        </w:rPr>
        <w:t>06715</w:t>
      </w:r>
    </w:p>
    <w:p w14:paraId="099B097F" w14:textId="434332C6" w:rsidR="000E23A6" w:rsidRPr="00841BCD" w:rsidRDefault="000E23A6" w:rsidP="000E23A6">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 xml:space="preserve">Reno, </w:t>
      </w:r>
      <w:r w:rsidR="008B5B38">
        <w:rPr>
          <w:rFonts w:ascii="Arial" w:eastAsia="SimSun" w:hAnsi="Arial" w:cs="Times New Roman"/>
          <w:b/>
          <w:sz w:val="24"/>
          <w:szCs w:val="20"/>
          <w:lang w:val="en-GB"/>
        </w:rPr>
        <w:t>US</w:t>
      </w:r>
      <w:r>
        <w:rPr>
          <w:rFonts w:ascii="Arial" w:eastAsia="SimSun" w:hAnsi="Arial" w:cs="Times New Roman"/>
          <w:b/>
          <w:sz w:val="24"/>
          <w:szCs w:val="20"/>
          <w:lang w:val="en-GB"/>
        </w:rPr>
        <w:t>, 13</w:t>
      </w:r>
      <w:r w:rsidRPr="00954212">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Pr="00954212">
        <w:rPr>
          <w:rFonts w:ascii="Arial" w:eastAsia="SimSun" w:hAnsi="Arial" w:cs="Times New Roman"/>
          <w:b/>
          <w:sz w:val="24"/>
          <w:szCs w:val="20"/>
        </w:rPr>
        <w:t>-</w:t>
      </w:r>
      <w:r>
        <w:rPr>
          <w:rFonts w:ascii="Arial" w:eastAsia="SimSun" w:hAnsi="Arial" w:cs="Times New Roman"/>
          <w:b/>
          <w:sz w:val="24"/>
          <w:szCs w:val="20"/>
          <w:lang w:val="en-GB"/>
        </w:rPr>
        <w:t>17</w:t>
      </w:r>
      <w:r w:rsidRPr="00954212">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May 2019</w:t>
      </w:r>
    </w:p>
    <w:bookmarkEnd w:id="0"/>
    <w:bookmarkEnd w:id="1"/>
    <w:p w14:paraId="1BC80ABB" w14:textId="77777777" w:rsidR="000E23A6" w:rsidRPr="00841BCD" w:rsidRDefault="000E23A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6450673F" w14:textId="77777777" w:rsidR="000E23A6" w:rsidRPr="00841BCD" w:rsidRDefault="000E23A6" w:rsidP="000E23A6">
      <w:pPr>
        <w:tabs>
          <w:tab w:val="left" w:pos="1985"/>
        </w:tabs>
        <w:ind w:left="1985" w:hanging="1985"/>
        <w:jc w:val="both"/>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 xml:space="preserve">Nokia Shanghai Bell </w:t>
      </w:r>
    </w:p>
    <w:p w14:paraId="7B95C861" w14:textId="01FE986A" w:rsidR="000E23A6" w:rsidRPr="00B171F0" w:rsidRDefault="000E23A6" w:rsidP="000E23A6">
      <w:pPr>
        <w:ind w:left="1985" w:hanging="1985"/>
        <w:jc w:val="both"/>
        <w:rPr>
          <w:rFonts w:ascii="Arial" w:eastAsia="Calibri" w:hAnsi="Arial" w:cs="Arial"/>
          <w:b/>
          <w:bCs/>
          <w:sz w:val="24"/>
        </w:rPr>
      </w:pPr>
      <w:r w:rsidRPr="0076280D">
        <w:rPr>
          <w:rFonts w:ascii="Arial" w:eastAsia="Calibri" w:hAnsi="Arial" w:cs="Arial"/>
          <w:b/>
          <w:bCs/>
          <w:sz w:val="24"/>
        </w:rPr>
        <w:t>Title:</w:t>
      </w:r>
      <w:r w:rsidRPr="0076280D">
        <w:rPr>
          <w:rFonts w:ascii="Arial" w:eastAsia="Calibri" w:hAnsi="Arial" w:cs="Arial"/>
          <w:b/>
          <w:bCs/>
          <w:sz w:val="24"/>
        </w:rPr>
        <w:tab/>
      </w:r>
      <w:r w:rsidR="00F84643">
        <w:rPr>
          <w:rFonts w:ascii="Arial" w:eastAsia="Calibri" w:hAnsi="Arial" w:cs="Arial"/>
          <w:b/>
          <w:bCs/>
          <w:sz w:val="24"/>
        </w:rPr>
        <w:t>Discussion</w:t>
      </w:r>
      <w:r w:rsidR="0007385D" w:rsidRPr="00B171F0">
        <w:rPr>
          <w:rFonts w:ascii="Arial" w:eastAsia="Calibri" w:hAnsi="Arial" w:cs="Arial"/>
          <w:b/>
          <w:bCs/>
          <w:sz w:val="24"/>
        </w:rPr>
        <w:t xml:space="preserve"> on </w:t>
      </w:r>
      <w:r w:rsidR="00F4761D">
        <w:rPr>
          <w:rFonts w:ascii="Arial" w:eastAsia="Calibri" w:hAnsi="Arial" w:cs="Arial"/>
          <w:b/>
          <w:bCs/>
          <w:sz w:val="24"/>
        </w:rPr>
        <w:t>NR-U RRM requirements</w:t>
      </w:r>
    </w:p>
    <w:p w14:paraId="3C35320A" w14:textId="77777777" w:rsidR="000E23A6" w:rsidRPr="00B171F0" w:rsidRDefault="000E23A6" w:rsidP="000E23A6">
      <w:pPr>
        <w:tabs>
          <w:tab w:val="left" w:pos="1985"/>
        </w:tabs>
        <w:spacing w:after="120" w:line="240" w:lineRule="auto"/>
        <w:jc w:val="both"/>
        <w:rPr>
          <w:rFonts w:ascii="Arial" w:eastAsia="MS Mincho" w:hAnsi="Arial" w:cs="Arial"/>
          <w:b/>
          <w:bCs/>
          <w:sz w:val="24"/>
          <w:szCs w:val="20"/>
        </w:rPr>
      </w:pPr>
      <w:r w:rsidRPr="00B171F0">
        <w:rPr>
          <w:rFonts w:ascii="Arial" w:eastAsia="MS Mincho" w:hAnsi="Arial" w:cs="Arial"/>
          <w:b/>
          <w:bCs/>
          <w:sz w:val="24"/>
          <w:szCs w:val="20"/>
        </w:rPr>
        <w:t>Agenda item:</w:t>
      </w:r>
      <w:r w:rsidRPr="00B171F0">
        <w:rPr>
          <w:rFonts w:ascii="Arial" w:eastAsia="MS Mincho" w:hAnsi="Arial" w:cs="Arial"/>
          <w:b/>
          <w:bCs/>
          <w:sz w:val="24"/>
          <w:szCs w:val="20"/>
        </w:rPr>
        <w:tab/>
        <w:t>8.1.5</w:t>
      </w:r>
    </w:p>
    <w:p w14:paraId="5FCD8CC3" w14:textId="77777777" w:rsidR="000E23A6" w:rsidRPr="00841BCD" w:rsidRDefault="000E23A6" w:rsidP="000E23A6">
      <w:pPr>
        <w:tabs>
          <w:tab w:val="left" w:pos="1985"/>
        </w:tabs>
        <w:jc w:val="both"/>
        <w:rPr>
          <w:rFonts w:ascii="Arial" w:eastAsia="Calibri" w:hAnsi="Arial" w:cs="Arial"/>
          <w:b/>
          <w:bCs/>
          <w:sz w:val="24"/>
          <w:lang w:val="en-GB"/>
        </w:rPr>
      </w:pPr>
      <w:r w:rsidRPr="00B171F0">
        <w:rPr>
          <w:rFonts w:ascii="Arial" w:eastAsia="Calibri" w:hAnsi="Arial" w:cs="Arial"/>
          <w:b/>
          <w:bCs/>
          <w:sz w:val="24"/>
          <w:lang w:val="en-GB"/>
        </w:rPr>
        <w:t>Document for:</w:t>
      </w:r>
      <w:r w:rsidRPr="00B171F0">
        <w:rPr>
          <w:rFonts w:ascii="Arial" w:eastAsia="Calibri" w:hAnsi="Arial" w:cs="Arial"/>
          <w:b/>
          <w:bCs/>
          <w:sz w:val="24"/>
          <w:lang w:val="en-GB"/>
        </w:rPr>
        <w:tab/>
        <w:t>Discussion</w:t>
      </w:r>
    </w:p>
    <w:p w14:paraId="68905DAB"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05664C1B" w14:textId="41338361" w:rsidR="002C54F8" w:rsidRDefault="00B31CD5" w:rsidP="00E86FB4">
      <w:pPr>
        <w:jc w:val="both"/>
      </w:pPr>
      <w:r>
        <w:t>A</w:t>
      </w:r>
      <w:r w:rsidR="001109F8">
        <w:rPr>
          <w:rFonts w:eastAsia="Calibri" w:cs="Times New Roman"/>
          <w:szCs w:val="20"/>
          <w:lang w:val="en-GB"/>
        </w:rPr>
        <w:t xml:space="preserve"> WI on </w:t>
      </w:r>
      <w:r w:rsidR="001D54CB">
        <w:rPr>
          <w:rFonts w:eastAsia="Calibri" w:cs="Times New Roman"/>
          <w:szCs w:val="20"/>
          <w:lang w:val="en-GB"/>
        </w:rPr>
        <w:t xml:space="preserve">NR-based Access to Unlicensed Spectrum </w:t>
      </w:r>
      <w:r w:rsidR="001D54CB">
        <w:rPr>
          <w:rFonts w:eastAsia="Calibri" w:cs="Times New Roman"/>
          <w:szCs w:val="20"/>
          <w:lang w:val="en-GB"/>
        </w:rPr>
        <w:fldChar w:fldCharType="begin"/>
      </w:r>
      <w:r w:rsidR="001D54CB">
        <w:rPr>
          <w:rFonts w:eastAsia="Calibri" w:cs="Times New Roman"/>
          <w:szCs w:val="20"/>
          <w:lang w:val="en-GB"/>
        </w:rPr>
        <w:instrText xml:space="preserve"> REF _Ref431017336 \r \h </w:instrText>
      </w:r>
      <w:r w:rsidR="00E86FB4">
        <w:rPr>
          <w:rFonts w:eastAsia="Calibri" w:cs="Times New Roman"/>
          <w:szCs w:val="20"/>
          <w:lang w:val="en-GB"/>
        </w:rPr>
        <w:instrText xml:space="preserve"> \* MERGEFORMAT </w:instrText>
      </w:r>
      <w:r w:rsidR="001D54CB">
        <w:rPr>
          <w:rFonts w:eastAsia="Calibri" w:cs="Times New Roman"/>
          <w:szCs w:val="20"/>
          <w:lang w:val="en-GB"/>
        </w:rPr>
      </w:r>
      <w:r w:rsidR="001D54CB">
        <w:rPr>
          <w:rFonts w:eastAsia="Calibri" w:cs="Times New Roman"/>
          <w:szCs w:val="20"/>
          <w:lang w:val="en-GB"/>
        </w:rPr>
        <w:fldChar w:fldCharType="separate"/>
      </w:r>
      <w:r w:rsidR="00174AD3">
        <w:rPr>
          <w:rFonts w:eastAsia="Calibri" w:cs="Times New Roman"/>
          <w:szCs w:val="20"/>
          <w:lang w:val="en-GB"/>
        </w:rPr>
        <w:t>[1]</w:t>
      </w:r>
      <w:r w:rsidR="001D54CB">
        <w:rPr>
          <w:rFonts w:eastAsia="Calibri" w:cs="Times New Roman"/>
          <w:szCs w:val="20"/>
          <w:lang w:val="en-GB"/>
        </w:rPr>
        <w:fldChar w:fldCharType="end"/>
      </w:r>
      <w:r w:rsidR="001D54CB">
        <w:rPr>
          <w:rFonts w:eastAsia="Calibri" w:cs="Times New Roman"/>
          <w:szCs w:val="20"/>
          <w:lang w:val="en-GB"/>
        </w:rPr>
        <w:t xml:space="preserve"> was approved in RAN Meeting #82.</w:t>
      </w:r>
      <w:r w:rsidR="00825BAF">
        <w:rPr>
          <w:rFonts w:eastAsia="Calibri" w:cs="Times New Roman"/>
          <w:szCs w:val="20"/>
          <w:lang w:val="en-GB"/>
        </w:rPr>
        <w:t xml:space="preserve"> This WI was based on the </w:t>
      </w:r>
      <w:r w:rsidR="005A1E00">
        <w:rPr>
          <w:rFonts w:eastAsia="Calibri" w:cs="Times New Roman"/>
          <w:szCs w:val="20"/>
          <w:lang w:val="en-GB"/>
        </w:rPr>
        <w:t xml:space="preserve">findings in </w:t>
      </w:r>
      <w:r w:rsidR="00825BAF">
        <w:rPr>
          <w:rFonts w:eastAsia="Calibri" w:cs="Times New Roman"/>
          <w:szCs w:val="20"/>
          <w:lang w:val="en-GB"/>
        </w:rPr>
        <w:t xml:space="preserve">“Study on NR-based Access to Unlicensed Spectrum”, </w:t>
      </w:r>
      <w:r w:rsidR="005A1E00">
        <w:rPr>
          <w:rFonts w:eastAsia="Calibri" w:cs="Times New Roman"/>
          <w:szCs w:val="20"/>
          <w:lang w:val="en-GB"/>
        </w:rPr>
        <w:t>which are</w:t>
      </w:r>
      <w:r w:rsidR="00825BAF">
        <w:rPr>
          <w:rFonts w:eastAsia="Calibri" w:cs="Times New Roman"/>
          <w:szCs w:val="20"/>
          <w:lang w:val="en-GB"/>
        </w:rPr>
        <w:t xml:space="preserve"> summarized in </w:t>
      </w:r>
      <w:r w:rsidR="00825BAF">
        <w:rPr>
          <w:rFonts w:eastAsia="Calibri" w:cs="Times New Roman"/>
          <w:szCs w:val="20"/>
          <w:lang w:val="en-GB"/>
        </w:rPr>
        <w:fldChar w:fldCharType="begin"/>
      </w:r>
      <w:r w:rsidR="00825BAF">
        <w:rPr>
          <w:rFonts w:eastAsia="Calibri" w:cs="Times New Roman"/>
          <w:szCs w:val="20"/>
          <w:lang w:val="en-GB"/>
        </w:rPr>
        <w:instrText xml:space="preserve"> REF _Ref2843888 \r \h </w:instrText>
      </w:r>
      <w:r w:rsidR="00E86FB4">
        <w:rPr>
          <w:rFonts w:eastAsia="Calibri" w:cs="Times New Roman"/>
          <w:szCs w:val="20"/>
          <w:lang w:val="en-GB"/>
        </w:rPr>
        <w:instrText xml:space="preserve"> \* MERGEFORMAT </w:instrText>
      </w:r>
      <w:r w:rsidR="00825BAF">
        <w:rPr>
          <w:rFonts w:eastAsia="Calibri" w:cs="Times New Roman"/>
          <w:szCs w:val="20"/>
          <w:lang w:val="en-GB"/>
        </w:rPr>
      </w:r>
      <w:r w:rsidR="00825BAF">
        <w:rPr>
          <w:rFonts w:eastAsia="Calibri" w:cs="Times New Roman"/>
          <w:szCs w:val="20"/>
          <w:lang w:val="en-GB"/>
        </w:rPr>
        <w:fldChar w:fldCharType="separate"/>
      </w:r>
      <w:r w:rsidR="00174AD3">
        <w:rPr>
          <w:rFonts w:eastAsia="Calibri" w:cs="Times New Roman"/>
          <w:szCs w:val="20"/>
          <w:lang w:val="en-GB"/>
        </w:rPr>
        <w:t>[2]</w:t>
      </w:r>
      <w:r w:rsidR="00825BAF">
        <w:rPr>
          <w:rFonts w:eastAsia="Calibri" w:cs="Times New Roman"/>
          <w:szCs w:val="20"/>
          <w:lang w:val="en-GB"/>
        </w:rPr>
        <w:fldChar w:fldCharType="end"/>
      </w:r>
      <w:r w:rsidR="005A1E00">
        <w:rPr>
          <w:rFonts w:eastAsia="Calibri" w:cs="Times New Roman"/>
          <w:szCs w:val="20"/>
          <w:lang w:val="en-GB"/>
        </w:rPr>
        <w:t>, considering operation in below 7GHz bands</w:t>
      </w:r>
      <w:r w:rsidR="00825BAF">
        <w:rPr>
          <w:rFonts w:eastAsia="Calibri" w:cs="Times New Roman"/>
          <w:szCs w:val="20"/>
          <w:lang w:val="en-GB"/>
        </w:rPr>
        <w:t>.</w:t>
      </w:r>
      <w:r w:rsidR="00B469B2">
        <w:rPr>
          <w:rFonts w:eastAsia="Calibri" w:cs="Times New Roman"/>
          <w:szCs w:val="20"/>
          <w:lang w:val="en-GB"/>
        </w:rPr>
        <w:t xml:space="preserve"> The design target of the WID is to specify a single global solution for NR-based access to unlicensed spectrum, compatible with the NR concepts</w:t>
      </w:r>
      <w:r w:rsidR="002C54F8">
        <w:rPr>
          <w:rFonts w:eastAsia="Calibri" w:cs="Times New Roman"/>
          <w:szCs w:val="20"/>
          <w:lang w:val="en-GB"/>
        </w:rPr>
        <w:t>, reusing the features of NR as much as possible.</w:t>
      </w:r>
      <w:r w:rsidR="008E67FB">
        <w:rPr>
          <w:rFonts w:eastAsia="Calibri" w:cs="Times New Roman"/>
          <w:szCs w:val="20"/>
          <w:lang w:val="en-GB"/>
        </w:rPr>
        <w:t xml:space="preserve"> </w:t>
      </w:r>
      <w:r w:rsidR="008E67FB">
        <w:t xml:space="preserve">NR-U will guarantee fair access to the unlicensed spectrum with Listen-Before Talk (LBT) mechanism, using the mechanism in LTE-LAA as baseline for 5 GHz, and as a starting point of the design for operation in the 6GHz band </w:t>
      </w:r>
      <w:r w:rsidR="008E67FB">
        <w:fldChar w:fldCharType="begin"/>
      </w:r>
      <w:r w:rsidR="008E67FB">
        <w:instrText xml:space="preserve"> REF _Ref2843888 \r \h </w:instrText>
      </w:r>
      <w:r w:rsidR="00E86FB4">
        <w:instrText xml:space="preserve"> \* MERGEFORMAT </w:instrText>
      </w:r>
      <w:r w:rsidR="008E67FB">
        <w:fldChar w:fldCharType="separate"/>
      </w:r>
      <w:r w:rsidR="00174AD3">
        <w:t>[2]</w:t>
      </w:r>
      <w:r w:rsidR="008E67FB">
        <w:fldChar w:fldCharType="end"/>
      </w:r>
      <w:r w:rsidR="008E67FB">
        <w:t>.</w:t>
      </w:r>
    </w:p>
    <w:p w14:paraId="3977FBF1" w14:textId="2D783DC4" w:rsidR="000E23A6" w:rsidRDefault="000E23A6" w:rsidP="00E86FB4">
      <w:pPr>
        <w:jc w:val="both"/>
        <w:rPr>
          <w:rFonts w:eastAsia="Calibri" w:cs="Times New Roman"/>
          <w:szCs w:val="20"/>
          <w:lang w:val="en-GB"/>
        </w:rPr>
      </w:pPr>
      <w:r>
        <w:rPr>
          <w:rFonts w:eastAsia="Calibri" w:cs="Times New Roman"/>
          <w:szCs w:val="20"/>
          <w:lang w:val="en-GB"/>
        </w:rPr>
        <w:t>In RAN 4 #90 bis, the discussion of the impact of NR-U on the RRM requirements was started. In the agreed work plan</w:t>
      </w:r>
      <w:r w:rsidR="00B171F0">
        <w:rPr>
          <w:rFonts w:eastAsia="Calibri" w:cs="Times New Roman"/>
          <w:szCs w:val="20"/>
          <w:lang w:val="en-GB"/>
        </w:rPr>
        <w:t xml:space="preserve"> and in the WF</w:t>
      </w:r>
      <w:r w:rsidR="00B171F0">
        <w:rPr>
          <w:rFonts w:eastAsia="Calibri" w:cs="Times New Roman"/>
          <w:szCs w:val="20"/>
          <w:lang w:val="en-GB"/>
        </w:rPr>
        <w:fldChar w:fldCharType="begin"/>
      </w:r>
      <w:r w:rsidR="00B171F0">
        <w:rPr>
          <w:rFonts w:eastAsia="Calibri" w:cs="Times New Roman"/>
          <w:szCs w:val="20"/>
          <w:lang w:val="en-GB"/>
        </w:rPr>
        <w:instrText xml:space="preserve"> REF _Ref7084905 \r \h </w:instrText>
      </w:r>
      <w:r w:rsidR="00B171F0">
        <w:rPr>
          <w:rFonts w:eastAsia="Calibri" w:cs="Times New Roman"/>
          <w:szCs w:val="20"/>
          <w:lang w:val="en-GB"/>
        </w:rPr>
      </w:r>
      <w:r w:rsidR="00B171F0">
        <w:rPr>
          <w:rFonts w:eastAsia="Calibri" w:cs="Times New Roman"/>
          <w:szCs w:val="20"/>
          <w:lang w:val="en-GB"/>
        </w:rPr>
        <w:fldChar w:fldCharType="separate"/>
      </w:r>
      <w:r w:rsidR="00B171F0">
        <w:rPr>
          <w:rFonts w:eastAsia="Calibri" w:cs="Times New Roman"/>
          <w:szCs w:val="20"/>
          <w:lang w:val="en-GB"/>
        </w:rPr>
        <w:t>[4]</w:t>
      </w:r>
      <w:r w:rsidR="00B171F0">
        <w:rPr>
          <w:rFonts w:eastAsia="Calibri" w:cs="Times New Roman"/>
          <w:szCs w:val="20"/>
          <w:lang w:val="en-GB"/>
        </w:rPr>
        <w:fldChar w:fldCharType="end"/>
      </w:r>
      <w:r>
        <w:rPr>
          <w:rFonts w:eastAsia="Calibri" w:cs="Times New Roman"/>
          <w:szCs w:val="20"/>
          <w:lang w:val="en-GB"/>
        </w:rPr>
        <w:t xml:space="preserve">, the discussion in RAN#91 should comprise, among others </w:t>
      </w:r>
      <w:r>
        <w:rPr>
          <w:rFonts w:eastAsia="Calibri" w:cs="Times New Roman"/>
          <w:szCs w:val="20"/>
          <w:lang w:val="en-GB"/>
        </w:rPr>
        <w:fldChar w:fldCharType="begin"/>
      </w:r>
      <w:r>
        <w:rPr>
          <w:rFonts w:eastAsia="Calibri" w:cs="Times New Roman"/>
          <w:szCs w:val="20"/>
          <w:lang w:val="en-GB"/>
        </w:rPr>
        <w:instrText xml:space="preserve"> REF _Ref7523761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[3]</w:t>
      </w:r>
      <w:r>
        <w:rPr>
          <w:rFonts w:eastAsia="Calibri" w:cs="Times New Roman"/>
          <w:szCs w:val="20"/>
          <w:lang w:val="en-GB"/>
        </w:rPr>
        <w:fldChar w:fldCharType="end"/>
      </w:r>
      <w:r>
        <w:rPr>
          <w:rFonts w:eastAsia="Calibri" w:cs="Times New Roman"/>
          <w:szCs w:val="20"/>
          <w:lang w:val="en-GB"/>
        </w:rPr>
        <w:t>:</w:t>
      </w:r>
    </w:p>
    <w:p w14:paraId="33B401AE" w14:textId="77777777" w:rsidR="0020521B" w:rsidRPr="00B86BE4" w:rsidRDefault="0020521B" w:rsidP="0071784F">
      <w:pPr>
        <w:numPr>
          <w:ilvl w:val="0"/>
          <w:numId w:val="5"/>
        </w:numPr>
        <w:overflowPunct w:val="0"/>
        <w:autoSpaceDE w:val="0"/>
        <w:autoSpaceDN w:val="0"/>
        <w:adjustRightInd w:val="0"/>
        <w:spacing w:after="180" w:line="240" w:lineRule="auto"/>
        <w:ind w:left="318" w:hanging="318"/>
        <w:textAlignment w:val="baseline"/>
      </w:pPr>
      <w:bookmarkStart w:id="3" w:name="_Hlk3369518"/>
      <w:r>
        <w:t>Survey on latest agreements in RAN1 and RAN2 which will impact RRM core work</w:t>
      </w:r>
    </w:p>
    <w:bookmarkEnd w:id="3"/>
    <w:p w14:paraId="1BB12C62" w14:textId="77777777" w:rsidR="0020521B" w:rsidRPr="00B171F0" w:rsidRDefault="0020521B" w:rsidP="0071784F">
      <w:pPr>
        <w:numPr>
          <w:ilvl w:val="0"/>
          <w:numId w:val="5"/>
        </w:numPr>
        <w:overflowPunct w:val="0"/>
        <w:autoSpaceDE w:val="0"/>
        <w:autoSpaceDN w:val="0"/>
        <w:adjustRightInd w:val="0"/>
        <w:spacing w:after="180" w:line="240" w:lineRule="auto"/>
        <w:ind w:left="318" w:hanging="318"/>
        <w:textAlignment w:val="baseline"/>
      </w:pPr>
      <w:r w:rsidRPr="00B171F0">
        <w:t>Initial discussion on RRM requirements for NR-U serving frequency layers based on latest RAN1 and RAN2 agreements</w:t>
      </w:r>
    </w:p>
    <w:p w14:paraId="1CC53BDC" w14:textId="6F328E7A" w:rsidR="000E23A6" w:rsidRPr="00C517AB" w:rsidRDefault="000E23A6" w:rsidP="00706198">
      <w:pPr>
        <w:jc w:val="both"/>
        <w:rPr>
          <w:lang w:val="en-GB"/>
        </w:rPr>
      </w:pPr>
      <w:r w:rsidRPr="00B171F0">
        <w:rPr>
          <w:rFonts w:eastAsia="Calibri" w:cs="Times New Roman"/>
          <w:szCs w:val="20"/>
          <w:lang w:val="en-GB"/>
        </w:rPr>
        <w:t xml:space="preserve">In this contribution, we address relevant RAN1 and RAN2 agreements and </w:t>
      </w:r>
      <w:r w:rsidR="00B171F0" w:rsidRPr="00B171F0">
        <w:rPr>
          <w:rFonts w:eastAsia="Calibri" w:cs="Times New Roman"/>
          <w:szCs w:val="20"/>
          <w:lang w:val="en-GB"/>
        </w:rPr>
        <w:t>discuss RRM requirements for NR-U</w:t>
      </w:r>
      <w:r w:rsidRPr="00B171F0">
        <w:rPr>
          <w:rFonts w:eastAsia="Calibri" w:cs="Times New Roman"/>
          <w:szCs w:val="20"/>
          <w:lang w:val="en-GB"/>
        </w:rPr>
        <w:t>.</w:t>
      </w:r>
      <w:r w:rsidR="00C517AB" w:rsidRPr="00B171F0">
        <w:rPr>
          <w:rFonts w:eastAsia="Calibri" w:cs="Times New Roman"/>
          <w:szCs w:val="20"/>
          <w:lang w:val="en-GB"/>
        </w:rPr>
        <w:t xml:space="preserve"> Following what was agreed in the Way Forward in RAN4 #90bis </w:t>
      </w:r>
      <w:r w:rsidR="00C517AB" w:rsidRPr="00B171F0">
        <w:rPr>
          <w:rFonts w:eastAsia="Calibri" w:cs="Times New Roman"/>
          <w:szCs w:val="20"/>
          <w:lang w:val="en-GB"/>
        </w:rPr>
        <w:fldChar w:fldCharType="begin"/>
      </w:r>
      <w:r w:rsidR="00C517AB" w:rsidRPr="00B171F0">
        <w:rPr>
          <w:rFonts w:eastAsia="Calibri" w:cs="Times New Roman"/>
          <w:szCs w:val="20"/>
          <w:lang w:val="en-GB"/>
        </w:rPr>
        <w:instrText xml:space="preserve"> REF _Ref7084905 \r \h </w:instrText>
      </w:r>
      <w:r w:rsidR="00B171F0">
        <w:rPr>
          <w:rFonts w:eastAsia="Calibri" w:cs="Times New Roman"/>
          <w:szCs w:val="20"/>
          <w:lang w:val="en-GB"/>
        </w:rPr>
        <w:instrText xml:space="preserve"> \* MERGEFORMAT </w:instrText>
      </w:r>
      <w:r w:rsidR="00C517AB" w:rsidRPr="00B171F0">
        <w:rPr>
          <w:rFonts w:eastAsia="Calibri" w:cs="Times New Roman"/>
          <w:szCs w:val="20"/>
          <w:lang w:val="en-GB"/>
        </w:rPr>
      </w:r>
      <w:r w:rsidR="00C517AB" w:rsidRPr="00B171F0">
        <w:rPr>
          <w:rFonts w:eastAsia="Calibri" w:cs="Times New Roman"/>
          <w:szCs w:val="20"/>
          <w:lang w:val="en-GB"/>
        </w:rPr>
        <w:fldChar w:fldCharType="separate"/>
      </w:r>
      <w:r w:rsidR="00C517AB" w:rsidRPr="00B171F0">
        <w:rPr>
          <w:rFonts w:eastAsia="Calibri" w:cs="Times New Roman"/>
          <w:szCs w:val="20"/>
          <w:lang w:val="en-GB"/>
        </w:rPr>
        <w:t>[4]</w:t>
      </w:r>
      <w:r w:rsidR="00C517AB" w:rsidRPr="00B171F0">
        <w:rPr>
          <w:rFonts w:eastAsia="Calibri" w:cs="Times New Roman"/>
          <w:szCs w:val="20"/>
          <w:lang w:val="en-GB"/>
        </w:rPr>
        <w:fldChar w:fldCharType="end"/>
      </w:r>
      <w:r w:rsidR="00C517AB" w:rsidRPr="00B171F0">
        <w:rPr>
          <w:rFonts w:eastAsia="Calibri" w:cs="Times New Roman"/>
          <w:szCs w:val="20"/>
          <w:lang w:val="en-GB"/>
        </w:rPr>
        <w:t xml:space="preserve">, in this contribution we </w:t>
      </w:r>
      <w:r w:rsidR="005E5408" w:rsidRPr="00B171F0">
        <w:rPr>
          <w:rFonts w:eastAsia="Calibri" w:cs="Times New Roman"/>
          <w:szCs w:val="20"/>
          <w:lang w:val="en-GB"/>
        </w:rPr>
        <w:t xml:space="preserve">discuss </w:t>
      </w:r>
      <w:r w:rsidR="00C517AB" w:rsidRPr="00B171F0">
        <w:rPr>
          <w:rFonts w:eastAsia="Calibri" w:cs="Times New Roman"/>
          <w:szCs w:val="20"/>
          <w:lang w:val="en-GB"/>
        </w:rPr>
        <w:t>the SSB-based</w:t>
      </w:r>
      <w:r w:rsidR="00C517AB">
        <w:rPr>
          <w:rFonts w:eastAsia="Calibri" w:cs="Times New Roman"/>
          <w:szCs w:val="20"/>
          <w:lang w:val="en-GB"/>
        </w:rPr>
        <w:t xml:space="preserve"> measurement and procedures, since the CSI-RS based ones are still subject to further decisions in other groups.</w:t>
      </w:r>
    </w:p>
    <w:p w14:paraId="1B3825FF" w14:textId="04300703" w:rsidR="00C517AB" w:rsidRPr="00C517AB" w:rsidRDefault="003B659E" w:rsidP="00C517AB">
      <w:pPr>
        <w:pStyle w:val="RAN4H1"/>
      </w:pPr>
      <w:bookmarkStart w:id="4" w:name="_Hlk7682270"/>
      <w:r>
        <w:t>2</w:t>
      </w:r>
      <w:r w:rsidRPr="00841BCD">
        <w:tab/>
      </w:r>
      <w:r w:rsidR="001679DE">
        <w:t>Discussion</w:t>
      </w:r>
    </w:p>
    <w:bookmarkEnd w:id="4"/>
    <w:p w14:paraId="613B2354" w14:textId="0BC73A91" w:rsidR="00D370E7" w:rsidRDefault="00D370E7" w:rsidP="00D631D8">
      <w:pPr>
        <w:jc w:val="both"/>
        <w:rPr>
          <w:rFonts w:eastAsia="Calibri" w:cs="Times New Roman"/>
          <w:szCs w:val="20"/>
          <w:lang w:val="en-GB"/>
        </w:rPr>
      </w:pPr>
      <w:r>
        <w:rPr>
          <w:rFonts w:eastAsia="Calibri" w:cs="Times New Roman"/>
          <w:szCs w:val="20"/>
          <w:lang w:val="en-GB"/>
        </w:rPr>
        <w:t xml:space="preserve">As discussed </w:t>
      </w:r>
      <w:r w:rsidRPr="00A020F4">
        <w:rPr>
          <w:rFonts w:eastAsia="Calibri" w:cs="Times New Roman"/>
          <w:szCs w:val="20"/>
          <w:lang w:val="en-GB"/>
        </w:rPr>
        <w:t xml:space="preserve">in </w:t>
      </w:r>
      <w:r w:rsidR="00A020F4" w:rsidRPr="00A020F4">
        <w:rPr>
          <w:rFonts w:eastAsia="Calibri" w:cs="Times New Roman"/>
          <w:szCs w:val="20"/>
          <w:lang w:val="en-GB"/>
        </w:rPr>
        <w:fldChar w:fldCharType="begin"/>
      </w:r>
      <w:r w:rsidR="00A020F4" w:rsidRPr="00A020F4">
        <w:rPr>
          <w:rFonts w:eastAsia="Calibri" w:cs="Times New Roman"/>
          <w:szCs w:val="20"/>
          <w:lang w:val="en-GB"/>
        </w:rPr>
        <w:instrText xml:space="preserve"> REF _Ref7782872 \r \h </w:instrText>
      </w:r>
      <w:r w:rsidR="00A020F4">
        <w:rPr>
          <w:rFonts w:eastAsia="Calibri" w:cs="Times New Roman"/>
          <w:szCs w:val="20"/>
          <w:lang w:val="en-GB"/>
        </w:rPr>
        <w:instrText xml:space="preserve"> \* MERGEFORMAT </w:instrText>
      </w:r>
      <w:r w:rsidR="00A020F4" w:rsidRPr="00A020F4">
        <w:rPr>
          <w:rFonts w:eastAsia="Calibri" w:cs="Times New Roman"/>
          <w:szCs w:val="20"/>
          <w:lang w:val="en-GB"/>
        </w:rPr>
      </w:r>
      <w:r w:rsidR="00A020F4" w:rsidRPr="00A020F4">
        <w:rPr>
          <w:rFonts w:eastAsia="Calibri" w:cs="Times New Roman"/>
          <w:szCs w:val="20"/>
          <w:lang w:val="en-GB"/>
        </w:rPr>
        <w:fldChar w:fldCharType="separate"/>
      </w:r>
      <w:r w:rsidR="00A020F4" w:rsidRPr="00A020F4">
        <w:rPr>
          <w:rFonts w:eastAsia="Calibri" w:cs="Times New Roman"/>
          <w:szCs w:val="20"/>
          <w:lang w:val="en-GB"/>
        </w:rPr>
        <w:t>[6]</w:t>
      </w:r>
      <w:r w:rsidR="00A020F4" w:rsidRPr="00A020F4">
        <w:rPr>
          <w:rFonts w:eastAsia="Calibri" w:cs="Times New Roman"/>
          <w:szCs w:val="20"/>
          <w:lang w:val="en-GB"/>
        </w:rPr>
        <w:fldChar w:fldCharType="end"/>
      </w:r>
      <w:r w:rsidR="00A020F4" w:rsidRPr="00A020F4">
        <w:rPr>
          <w:rFonts w:eastAsia="Calibri" w:cs="Times New Roman"/>
          <w:szCs w:val="20"/>
          <w:lang w:val="en-GB"/>
        </w:rPr>
        <w:t>, t</w:t>
      </w:r>
      <w:r w:rsidRPr="00A020F4">
        <w:rPr>
          <w:rFonts w:eastAsia="Calibri" w:cs="Times New Roman"/>
          <w:szCs w:val="20"/>
          <w:lang w:val="en-GB"/>
        </w:rPr>
        <w:t>he main difference</w:t>
      </w:r>
      <w:r>
        <w:rPr>
          <w:rFonts w:eastAsia="Calibri" w:cs="Times New Roman"/>
          <w:szCs w:val="20"/>
          <w:lang w:val="en-GB"/>
        </w:rPr>
        <w:t xml:space="preserve"> between Rel 15 NR, and NR-U, in terms of measurements is that in unlicensed spectrum</w:t>
      </w:r>
      <w:r w:rsidR="00D349DC">
        <w:rPr>
          <w:rFonts w:eastAsia="Calibri" w:cs="Times New Roman"/>
          <w:szCs w:val="20"/>
          <w:lang w:val="en-GB"/>
        </w:rPr>
        <w:t xml:space="preserve"> </w:t>
      </w:r>
      <w:r>
        <w:rPr>
          <w:rFonts w:eastAsia="Calibri" w:cs="Times New Roman"/>
          <w:szCs w:val="20"/>
          <w:lang w:val="en-GB"/>
        </w:rPr>
        <w:t xml:space="preserve">UEs cannot assume the periodic transmission of reference signals, due to the possibility of LBT failure. In that case, periodic signals, such as the the </w:t>
      </w:r>
      <w:r>
        <w:t>SS and PBCH block (SSB) might either be dropped or delayed due to the temporarily unavailability of the channel.</w:t>
      </w:r>
    </w:p>
    <w:p w14:paraId="0615E1D5" w14:textId="77777777" w:rsidR="00D370E7" w:rsidRDefault="00D370E7" w:rsidP="00D370E7">
      <w:pPr>
        <w:pStyle w:val="RAN4Observation"/>
      </w:pPr>
      <w:r w:rsidRPr="00C27CD5">
        <w:t>In unlicensed carriers, UEs cannot expect regular transmission of control and reference signals due to the uncertainty of the outcome of LBT</w:t>
      </w:r>
      <w:r>
        <w:t>, which may cause the transmissions to be either dropped or delayed.</w:t>
      </w:r>
    </w:p>
    <w:p w14:paraId="3E393F62" w14:textId="0325F23C" w:rsidR="00D370E7" w:rsidRDefault="00D370E7" w:rsidP="00D631D8">
      <w:pPr>
        <w:jc w:val="both"/>
        <w:rPr>
          <w:rFonts w:eastAsia="Calibri" w:cs="Times New Roman"/>
          <w:szCs w:val="20"/>
          <w:lang w:val="en-GB"/>
        </w:rPr>
      </w:pPr>
      <w:r>
        <w:rPr>
          <w:rFonts w:eastAsia="Calibri" w:cs="Times New Roman"/>
          <w:szCs w:val="20"/>
          <w:lang w:val="en-GB"/>
        </w:rPr>
        <w:t xml:space="preserve">In order to account for </w:t>
      </w:r>
      <w:r w:rsidR="00D349DC">
        <w:rPr>
          <w:rFonts w:eastAsia="Calibri" w:cs="Times New Roman"/>
          <w:szCs w:val="20"/>
          <w:lang w:val="en-GB"/>
        </w:rPr>
        <w:t>the uncertainty of channel access for the transmission of DRS</w:t>
      </w:r>
      <w:r>
        <w:rPr>
          <w:rFonts w:eastAsia="Calibri" w:cs="Times New Roman"/>
          <w:szCs w:val="20"/>
          <w:lang w:val="en-GB"/>
        </w:rPr>
        <w:t xml:space="preserve">, while still maintaining a </w:t>
      </w:r>
      <w:r w:rsidR="005440B8">
        <w:rPr>
          <w:rFonts w:eastAsia="Calibri" w:cs="Times New Roman"/>
          <w:szCs w:val="20"/>
          <w:lang w:val="en-GB"/>
        </w:rPr>
        <w:t>periodic</w:t>
      </w:r>
      <w:r>
        <w:rPr>
          <w:rFonts w:eastAsia="Calibri" w:cs="Times New Roman"/>
          <w:szCs w:val="20"/>
          <w:lang w:val="en-GB"/>
        </w:rPr>
        <w:t xml:space="preserve"> window in which the transmission of SSBs might occur, RAN1 has defined </w:t>
      </w:r>
      <w:r w:rsidR="00D349DC">
        <w:rPr>
          <w:rFonts w:eastAsia="Calibri" w:cs="Times New Roman"/>
          <w:szCs w:val="20"/>
          <w:lang w:val="en-GB"/>
        </w:rPr>
        <w:t>the term</w:t>
      </w:r>
      <w:r>
        <w:rPr>
          <w:rFonts w:eastAsia="Calibri" w:cs="Times New Roman"/>
          <w:szCs w:val="20"/>
          <w:lang w:val="en-GB"/>
        </w:rPr>
        <w:t xml:space="preserve"> DRS transmission window</w:t>
      </w:r>
      <w:r w:rsidR="00D349DC">
        <w:rPr>
          <w:rFonts w:eastAsia="Calibri" w:cs="Times New Roman"/>
          <w:szCs w:val="20"/>
          <w:lang w:val="en-GB"/>
        </w:rPr>
        <w:t xml:space="preserve">. The DRS transmission window </w:t>
      </w:r>
      <w:r>
        <w:rPr>
          <w:rFonts w:eastAsia="Calibri" w:cs="Times New Roman"/>
          <w:szCs w:val="20"/>
          <w:lang w:val="en-GB"/>
        </w:rPr>
        <w:t xml:space="preserve">is a period within which the UE can expect </w:t>
      </w:r>
      <w:r w:rsidR="00D349DC">
        <w:rPr>
          <w:rFonts w:eastAsia="Calibri" w:cs="Times New Roman"/>
          <w:szCs w:val="20"/>
          <w:lang w:val="en-GB"/>
        </w:rPr>
        <w:t xml:space="preserve">– but not assume – </w:t>
      </w:r>
      <w:r>
        <w:rPr>
          <w:rFonts w:eastAsia="Calibri" w:cs="Times New Roman"/>
          <w:szCs w:val="20"/>
          <w:lang w:val="en-GB"/>
        </w:rPr>
        <w:t>the transmission of DRS.</w:t>
      </w:r>
    </w:p>
    <w:p w14:paraId="471E6493" w14:textId="77777777" w:rsidR="00351119" w:rsidRDefault="00D349DC" w:rsidP="00700057">
      <w:pPr>
        <w:pStyle w:val="RAN4observation0"/>
        <w:jc w:val="both"/>
      </w:pPr>
      <w:r>
        <w:t>RAN1 has defined a DRS transmission window, i.e, an interval of time where the SSBs are expected to be transmitted, to account for the irregular transmission of SSBs.</w:t>
      </w:r>
    </w:p>
    <w:p w14:paraId="4203110C" w14:textId="5DA61271" w:rsidR="00351119" w:rsidRDefault="00351119" w:rsidP="00700057">
      <w:pPr>
        <w:pStyle w:val="RAN4observation0"/>
        <w:jc w:val="both"/>
      </w:pPr>
      <w:r>
        <w:t>RAN1 is still discussing the DRS, and the DRS transmission window designs.</w:t>
      </w:r>
    </w:p>
    <w:p w14:paraId="06C5B347" w14:textId="1A24CC71" w:rsidR="000E23A6" w:rsidRPr="00D631D8" w:rsidRDefault="00D631D8" w:rsidP="00D631D8">
      <w:pPr>
        <w:jc w:val="both"/>
        <w:rPr>
          <w:rFonts w:eastAsia="Calibri" w:cs="Times New Roman"/>
          <w:szCs w:val="20"/>
          <w:lang w:val="en-GB"/>
        </w:rPr>
      </w:pPr>
      <w:r>
        <w:rPr>
          <w:rFonts w:eastAsia="Calibri" w:cs="Times New Roman"/>
          <w:szCs w:val="20"/>
          <w:lang w:val="en-GB"/>
        </w:rPr>
        <w:t>Though</w:t>
      </w:r>
      <w:r w:rsidRPr="00D631D8">
        <w:rPr>
          <w:rFonts w:eastAsia="Calibri" w:cs="Times New Roman"/>
          <w:szCs w:val="20"/>
          <w:lang w:val="en-GB"/>
        </w:rPr>
        <w:t xml:space="preserve"> the topic is still under discussion, some agreements about the DRS</w:t>
      </w:r>
      <w:r w:rsidR="00D349DC">
        <w:rPr>
          <w:rFonts w:eastAsia="Calibri" w:cs="Times New Roman"/>
          <w:szCs w:val="20"/>
          <w:lang w:val="en-GB"/>
        </w:rPr>
        <w:t xml:space="preserve"> and DRS</w:t>
      </w:r>
      <w:r w:rsidR="001958A2">
        <w:rPr>
          <w:rFonts w:eastAsia="Calibri" w:cs="Times New Roman"/>
          <w:szCs w:val="20"/>
          <w:lang w:val="en-GB"/>
        </w:rPr>
        <w:t xml:space="preserve"> transmission window</w:t>
      </w:r>
      <w:r w:rsidRPr="00D631D8">
        <w:rPr>
          <w:rFonts w:eastAsia="Calibri" w:cs="Times New Roman"/>
          <w:szCs w:val="20"/>
          <w:lang w:val="en-GB"/>
        </w:rPr>
        <w:t xml:space="preserve"> design are given below:</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0E23A6" w14:paraId="7BDB41B8" w14:textId="77777777" w:rsidTr="00140330">
        <w:tc>
          <w:tcPr>
            <w:tcW w:w="9050" w:type="dxa"/>
            <w:shd w:val="clear" w:color="auto" w:fill="auto"/>
          </w:tcPr>
          <w:p w14:paraId="49880867" w14:textId="532B463C" w:rsidR="007A306D" w:rsidRPr="008040B8" w:rsidRDefault="007A306D" w:rsidP="008040B8">
            <w:pPr>
              <w:rPr>
                <w:highlight w:val="green"/>
                <w:lang w:eastAsia="x-none"/>
              </w:rPr>
            </w:pPr>
            <w:r w:rsidRPr="008040B8">
              <w:rPr>
                <w:highlight w:val="green"/>
                <w:lang w:eastAsia="x-none"/>
              </w:rPr>
              <w:t>Agreement RAN1#96:​</w:t>
            </w:r>
          </w:p>
          <w:p w14:paraId="02B72A4B" w14:textId="77777777" w:rsidR="007A306D" w:rsidRPr="008040B8" w:rsidRDefault="007A306D" w:rsidP="0071784F">
            <w:pPr>
              <w:numPr>
                <w:ilvl w:val="0"/>
                <w:numId w:val="8"/>
              </w:numPr>
              <w:rPr>
                <w:lang w:eastAsia="x-none"/>
              </w:rPr>
            </w:pPr>
            <w:r w:rsidRPr="008040B8">
              <w:rPr>
                <w:lang w:eastAsia="x-none"/>
              </w:rPr>
              <w:t>For a given cell, UE may assume SS/PBCH blocks in the same candidate position within the DRS transmission window are QCL across DRS transmission windows​</w:t>
            </w:r>
          </w:p>
          <w:p w14:paraId="47DE2EAD" w14:textId="77777777" w:rsidR="007A306D" w:rsidRPr="008040B8" w:rsidRDefault="007A306D" w:rsidP="0071784F">
            <w:pPr>
              <w:numPr>
                <w:ilvl w:val="1"/>
                <w:numId w:val="8"/>
              </w:numPr>
              <w:rPr>
                <w:lang w:eastAsia="x-none"/>
              </w:rPr>
            </w:pPr>
            <w:r w:rsidRPr="008040B8">
              <w:rPr>
                <w:lang w:eastAsia="x-none"/>
              </w:rPr>
              <w:t>Alt1: The PBCH DMRS sequence index is also the same​</w:t>
            </w:r>
          </w:p>
          <w:p w14:paraId="31B17BDE" w14:textId="77777777" w:rsidR="007A306D" w:rsidRPr="008040B8" w:rsidRDefault="007A306D" w:rsidP="0071784F">
            <w:pPr>
              <w:numPr>
                <w:ilvl w:val="1"/>
                <w:numId w:val="8"/>
              </w:numPr>
              <w:rPr>
                <w:lang w:eastAsia="x-none"/>
              </w:rPr>
            </w:pPr>
            <w:r w:rsidRPr="008040B8">
              <w:rPr>
                <w:lang w:eastAsia="x-none"/>
              </w:rPr>
              <w:lastRenderedPageBreak/>
              <w:t>Alt2: The PBCH DMRS sequence index may be different​</w:t>
            </w:r>
          </w:p>
          <w:p w14:paraId="00E9B60A" w14:textId="77777777" w:rsidR="007A306D" w:rsidRPr="008040B8" w:rsidRDefault="007A306D" w:rsidP="0071784F">
            <w:pPr>
              <w:numPr>
                <w:ilvl w:val="1"/>
                <w:numId w:val="8"/>
              </w:numPr>
              <w:rPr>
                <w:lang w:eastAsia="x-none"/>
              </w:rPr>
            </w:pPr>
            <w:r w:rsidRPr="008040B8">
              <w:rPr>
                <w:lang w:eastAsia="x-none"/>
              </w:rPr>
              <w:t>Note: The first candidate position of the DRS transmission window is located at the first half slot of a half frame​</w:t>
            </w:r>
          </w:p>
          <w:p w14:paraId="20F94E90" w14:textId="77777777" w:rsidR="007A306D" w:rsidRPr="008040B8" w:rsidRDefault="007A306D" w:rsidP="0071784F">
            <w:pPr>
              <w:numPr>
                <w:ilvl w:val="0"/>
                <w:numId w:val="8"/>
              </w:numPr>
              <w:rPr>
                <w:lang w:eastAsia="x-none"/>
              </w:rPr>
            </w:pPr>
            <w:r w:rsidRPr="008040B8">
              <w:rPr>
                <w:lang w:eastAsia="x-none"/>
              </w:rPr>
              <w:t>FFS: QCL assumption for SSBs in different candidate positions within a DRS transmission window and across DRS transmission windows</w:t>
            </w:r>
          </w:p>
          <w:p w14:paraId="36811A1E" w14:textId="6CCEC46C" w:rsidR="008040B8" w:rsidRPr="008040B8" w:rsidRDefault="008040B8" w:rsidP="008040B8">
            <w:pPr>
              <w:rPr>
                <w:highlight w:val="green"/>
                <w:lang w:eastAsia="x-none"/>
              </w:rPr>
            </w:pPr>
            <w:r w:rsidRPr="008040B8">
              <w:rPr>
                <w:highlight w:val="green"/>
                <w:lang w:eastAsia="x-none"/>
              </w:rPr>
              <w:t>Agreemen</w:t>
            </w:r>
            <w:r>
              <w:rPr>
                <w:highlight w:val="green"/>
                <w:lang w:eastAsia="x-none"/>
              </w:rPr>
              <w:t>t RAN1# 96 bis</w:t>
            </w:r>
            <w:r w:rsidRPr="008040B8">
              <w:rPr>
                <w:highlight w:val="green"/>
                <w:lang w:eastAsia="x-none"/>
              </w:rPr>
              <w:t>: ​</w:t>
            </w:r>
          </w:p>
          <w:p w14:paraId="11D3BC0E" w14:textId="0778C090" w:rsidR="008040B8" w:rsidRDefault="008040B8" w:rsidP="0071784F">
            <w:pPr>
              <w:numPr>
                <w:ilvl w:val="0"/>
                <w:numId w:val="8"/>
              </w:numPr>
              <w:rPr>
                <w:lang w:eastAsia="x-none"/>
              </w:rPr>
            </w:pPr>
            <w:r w:rsidRPr="008040B8">
              <w:rPr>
                <w:lang w:eastAsia="x-none"/>
              </w:rPr>
              <w:t>For a given cell, the UE may assume that the PBCH DMRS sequence index is the same for SS/PBCH blocks that are transmitted at the same candidate positions across DRS transmission windows.</w:t>
            </w:r>
          </w:p>
          <w:p w14:paraId="3E800BFD" w14:textId="7FE00F4D" w:rsidR="00140330" w:rsidRPr="008040B8" w:rsidRDefault="00140330" w:rsidP="0071784F">
            <w:pPr>
              <w:numPr>
                <w:ilvl w:val="0"/>
                <w:numId w:val="8"/>
              </w:numPr>
              <w:rPr>
                <w:lang w:eastAsia="x-none"/>
              </w:rPr>
            </w:pPr>
            <w:r w:rsidRPr="00140330">
              <w:rPr>
                <w:lang w:eastAsia="x-none"/>
              </w:rPr>
              <w:t>UE determines serving cell timing from the detected SSB candidate position, where the SSB candidate positions within the DRS transmission window are indexed from 0,…,Y-1 (Y = 10 for 15 kHz SCS and Y = 20 for 30 kHz SCS).</w:t>
            </w:r>
          </w:p>
          <w:p w14:paraId="07093E8C" w14:textId="77777777" w:rsidR="00140330" w:rsidRPr="00D35AEE" w:rsidRDefault="00140330" w:rsidP="00140330">
            <w:pPr>
              <w:rPr>
                <w:lang w:eastAsia="x-none"/>
              </w:rPr>
            </w:pPr>
            <w:r w:rsidRPr="00D35AEE">
              <w:rPr>
                <w:highlight w:val="green"/>
                <w:lang w:eastAsia="x-none"/>
              </w:rPr>
              <w:t>Agreement</w:t>
            </w:r>
            <w:r w:rsidRPr="00D35AEE">
              <w:rPr>
                <w:lang w:eastAsia="x-none"/>
              </w:rPr>
              <w:t>:​</w:t>
            </w:r>
          </w:p>
          <w:p w14:paraId="08B139F5" w14:textId="77777777" w:rsidR="00140330" w:rsidRPr="00D35AEE" w:rsidRDefault="00140330" w:rsidP="0071784F">
            <w:pPr>
              <w:numPr>
                <w:ilvl w:val="0"/>
                <w:numId w:val="8"/>
              </w:numPr>
              <w:rPr>
                <w:lang w:eastAsia="x-none"/>
              </w:rPr>
            </w:pPr>
            <w:r w:rsidRPr="00D35AEE">
              <w:rPr>
                <w:lang w:eastAsia="x-none"/>
              </w:rPr>
              <w:t>The maximum DRS transmission window duration is 5 ms.​</w:t>
            </w:r>
          </w:p>
          <w:p w14:paraId="12092F38" w14:textId="77777777" w:rsidR="00140330" w:rsidRPr="00D35AEE" w:rsidRDefault="00140330" w:rsidP="0071784F">
            <w:pPr>
              <w:numPr>
                <w:ilvl w:val="0"/>
                <w:numId w:val="8"/>
              </w:numPr>
              <w:rPr>
                <w:lang w:eastAsia="x-none"/>
              </w:rPr>
            </w:pPr>
            <w:r w:rsidRPr="00D35AEE">
              <w:rPr>
                <w:lang w:eastAsia="x-none"/>
              </w:rPr>
              <w:t>The maximum number of candidate SSB positions within a DRS transmission window, Y, is selected as Y = 10 for 15 kHz SCS and Y = 20 for 30 kHz SCS.​</w:t>
            </w:r>
          </w:p>
          <w:p w14:paraId="05652833" w14:textId="77777777" w:rsidR="00140330" w:rsidRPr="00D35AEE" w:rsidRDefault="00140330" w:rsidP="0071784F">
            <w:pPr>
              <w:numPr>
                <w:ilvl w:val="0"/>
                <w:numId w:val="8"/>
              </w:numPr>
              <w:rPr>
                <w:lang w:eastAsia="x-none"/>
              </w:rPr>
            </w:pPr>
            <w:r w:rsidRPr="00D35AEE">
              <w:rPr>
                <w:lang w:eastAsia="x-none"/>
              </w:rPr>
              <w:t>Note: The number of starting points for DRS transmissions with the 5 ms window that can use a Cat. 2 LBT is to be discussed further as part of channel access discussions.​</w:t>
            </w:r>
          </w:p>
          <w:p w14:paraId="14C3F07E" w14:textId="77777777" w:rsidR="00140330" w:rsidRDefault="00140330" w:rsidP="0071784F">
            <w:pPr>
              <w:numPr>
                <w:ilvl w:val="0"/>
                <w:numId w:val="8"/>
              </w:numPr>
              <w:rPr>
                <w:lang w:eastAsia="x-none"/>
              </w:rPr>
            </w:pPr>
            <w:r w:rsidRPr="00D35AEE">
              <w:rPr>
                <w:lang w:eastAsia="x-none"/>
              </w:rPr>
              <w:t>FFS: If the DRS transmission window is configurable, and if yes, how to configure and indicate the window, including the range of configurable values.​</w:t>
            </w:r>
          </w:p>
          <w:p w14:paraId="72CB49CD" w14:textId="004A8AFD" w:rsidR="007A306D" w:rsidRPr="00140330" w:rsidRDefault="007A306D" w:rsidP="008040B8">
            <w:pPr>
              <w:rPr>
                <w:lang w:eastAsia="x-none"/>
              </w:rPr>
            </w:pPr>
          </w:p>
        </w:tc>
      </w:tr>
    </w:tbl>
    <w:p w14:paraId="121085A7" w14:textId="519FA966" w:rsidR="001958A2" w:rsidRDefault="001958A2" w:rsidP="000E23A6"/>
    <w:p w14:paraId="2E3921CB" w14:textId="68693002" w:rsidR="00351119" w:rsidRDefault="0007547A" w:rsidP="001679DE">
      <w:pPr>
        <w:jc w:val="both"/>
      </w:pPr>
      <w:r>
        <w:t xml:space="preserve">In the agreements above, RAN1 has </w:t>
      </w:r>
      <w:r w:rsidR="005E7A8F">
        <w:t>defined</w:t>
      </w:r>
      <w:r>
        <w:t xml:space="preserve"> a maximum number of candidate SSB positions within a DRS transmission window</w:t>
      </w:r>
      <w:r w:rsidR="005E7A8F">
        <w:t xml:space="preserve">. </w:t>
      </w:r>
      <w:r w:rsidR="0075490C">
        <w:t xml:space="preserve">RAN1 is still discussing the possibility of </w:t>
      </w:r>
      <w:r w:rsidR="00657320">
        <w:t>SSB repetition</w:t>
      </w:r>
      <w:r w:rsidR="0075490C">
        <w:t xml:space="preserve">. </w:t>
      </w:r>
      <w:r w:rsidR="005E7A8F">
        <w:t>Having multiple candidate positions</w:t>
      </w:r>
      <w:r w:rsidR="0075490C">
        <w:t>, and/or repeating SSB transmissions,</w:t>
      </w:r>
      <w:r w:rsidR="005E7A8F">
        <w:t xml:space="preserve"> </w:t>
      </w:r>
      <w:r w:rsidR="00657320">
        <w:t>may</w:t>
      </w:r>
      <w:r w:rsidR="005E7A8F">
        <w:t xml:space="preserve"> help reducing the probability of missing the DRS transmission</w:t>
      </w:r>
      <w:r w:rsidR="008A69EC">
        <w:t xml:space="preserve"> opportunities</w:t>
      </w:r>
      <w:r w:rsidR="0075490C">
        <w:t>;</w:t>
      </w:r>
      <w:r w:rsidR="005E7A8F">
        <w:t xml:space="preserve"> however, </w:t>
      </w:r>
      <w:r w:rsidR="008A69EC">
        <w:t>the actual transmission can still not be guaranteed at the UE.</w:t>
      </w:r>
      <w:r w:rsidR="00351119">
        <w:t xml:space="preserve"> In NR, many measurements are defined based on the periodicity of SSBs. </w:t>
      </w:r>
    </w:p>
    <w:p w14:paraId="4D9DB712" w14:textId="435B0066" w:rsidR="001958A2" w:rsidRDefault="00D370E7" w:rsidP="008040B8">
      <w:pPr>
        <w:pStyle w:val="RAN4proposal"/>
        <w:jc w:val="both"/>
        <w:rPr>
          <w:lang w:val="en-GB"/>
        </w:rPr>
      </w:pPr>
      <w:r w:rsidRPr="00D349DC">
        <w:rPr>
          <w:lang w:val="en-GB"/>
        </w:rPr>
        <w:t>In the definition of requirements, RAN4 to consider that reference signals might not be present during the measurement period.</w:t>
      </w:r>
    </w:p>
    <w:p w14:paraId="1E41B105" w14:textId="11E916E9" w:rsidR="003F7E7B" w:rsidRDefault="00B65F6D" w:rsidP="003F7E7B">
      <w:pPr>
        <w:jc w:val="both"/>
      </w:pPr>
      <w:r>
        <w:t>One issue for RRM that arises from the LBT procedure failure is how to handle missing L1 samples during the evaluation periods. In NR Rel 15, measurement requirements are defined assuming overlapping between SSB or CSI-RS transmissions, DRX, measurement gaps and SMTC windows. After initial access, it is expected that the UE is aware of the DRS transmission characteristics in serving and neighbor cells, including DRS timing.</w:t>
      </w:r>
      <w:r w:rsidR="003F7E7B">
        <w:t xml:space="preserve"> </w:t>
      </w:r>
      <w:r w:rsidR="00CB24C3">
        <w:t>Regarding this, there are some opened aspects to be defined</w:t>
      </w:r>
      <w:r w:rsidR="003F7E7B">
        <w:t xml:space="preserve">: </w:t>
      </w:r>
    </w:p>
    <w:p w14:paraId="04201646" w14:textId="77777777" w:rsidR="00CB24C3" w:rsidRDefault="00CB24C3" w:rsidP="00CB24C3">
      <w:pPr>
        <w:pStyle w:val="ListParagraph"/>
        <w:numPr>
          <w:ilvl w:val="0"/>
          <w:numId w:val="12"/>
        </w:numPr>
        <w:spacing w:line="256" w:lineRule="auto"/>
        <w:rPr>
          <w:lang w:val="en-GB"/>
        </w:rPr>
      </w:pPr>
      <w:r>
        <w:rPr>
          <w:lang w:val="en-GB"/>
        </w:rPr>
        <w:t xml:space="preserve">The DRS transmission window distribution between serving and neighbour cells. </w:t>
      </w:r>
    </w:p>
    <w:p w14:paraId="5E032144" w14:textId="77777777" w:rsidR="00CB24C3" w:rsidRDefault="00CB24C3" w:rsidP="00CB24C3">
      <w:pPr>
        <w:pStyle w:val="ListParagraph"/>
        <w:numPr>
          <w:ilvl w:val="0"/>
          <w:numId w:val="12"/>
        </w:numPr>
        <w:spacing w:line="256" w:lineRule="auto"/>
        <w:rPr>
          <w:lang w:val="en-GB"/>
        </w:rPr>
      </w:pPr>
      <w:r>
        <w:rPr>
          <w:lang w:val="en-GB"/>
        </w:rPr>
        <w:t>Different SMTC configurations for intra and inter-frequency measurements</w:t>
      </w:r>
    </w:p>
    <w:p w14:paraId="3920237E" w14:textId="77777777" w:rsidR="00CB24C3" w:rsidRDefault="00CB24C3" w:rsidP="00CB24C3">
      <w:pPr>
        <w:pStyle w:val="ListParagraph"/>
        <w:numPr>
          <w:ilvl w:val="0"/>
          <w:numId w:val="12"/>
        </w:numPr>
        <w:spacing w:line="256" w:lineRule="auto"/>
        <w:rPr>
          <w:lang w:val="en-GB"/>
        </w:rPr>
      </w:pPr>
      <w:r>
        <w:rPr>
          <w:lang w:val="en-GB"/>
        </w:rPr>
        <w:t>SMTC duration and periodicity.</w:t>
      </w:r>
    </w:p>
    <w:p w14:paraId="0FB3F5A3" w14:textId="77777777" w:rsidR="00CB24C3" w:rsidRDefault="00CB24C3" w:rsidP="00CB24C3">
      <w:pPr>
        <w:rPr>
          <w:lang w:val="en-GB"/>
        </w:rPr>
      </w:pPr>
      <w:r>
        <w:rPr>
          <w:lang w:val="en-GB"/>
        </w:rPr>
        <w:t xml:space="preserve">In RAN2 #105bis, RAN2 has discussed the topic of connected mode measurements, in </w:t>
      </w:r>
      <w:r>
        <w:rPr>
          <w:lang w:val="en-GB"/>
        </w:rPr>
        <w:fldChar w:fldCharType="begin"/>
      </w:r>
      <w:r>
        <w:rPr>
          <w:lang w:val="en-GB"/>
        </w:rPr>
        <w:instrText xml:space="preserve"> REF _Ref7529854 \r \h </w:instrText>
      </w:r>
      <w:r>
        <w:rPr>
          <w:lang w:val="en-GB"/>
        </w:rPr>
      </w:r>
      <w:r>
        <w:rPr>
          <w:lang w:val="en-GB"/>
        </w:rPr>
        <w:fldChar w:fldCharType="separate"/>
      </w:r>
      <w:r>
        <w:rPr>
          <w:lang w:val="en-GB"/>
        </w:rPr>
        <w:t>[5]</w:t>
      </w:r>
      <w:r>
        <w:rPr>
          <w:lang w:val="en-GB"/>
        </w:rPr>
        <w:fldChar w:fldCharType="end"/>
      </w:r>
      <w:r>
        <w:rPr>
          <w:lang w:val="en-GB"/>
        </w:rPr>
        <w:t>. In RAN2 #105 bis, they reached the following agreements (captured in the Chairman notes, to be agreed in RAN2 #106, which is parallel to RAN4 #91):</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CB24C3" w14:paraId="04907742" w14:textId="77777777" w:rsidTr="009B6744">
        <w:tc>
          <w:tcPr>
            <w:tcW w:w="10138" w:type="dxa"/>
            <w:shd w:val="clear" w:color="auto" w:fill="auto"/>
          </w:tcPr>
          <w:p w14:paraId="05E321FF" w14:textId="77777777" w:rsidR="00CB24C3" w:rsidRPr="00D35AEE" w:rsidRDefault="00CB24C3" w:rsidP="009B6744">
            <w:pPr>
              <w:rPr>
                <w:lang w:eastAsia="x-none"/>
              </w:rPr>
            </w:pPr>
            <w:r w:rsidRPr="00D35AEE">
              <w:rPr>
                <w:highlight w:val="green"/>
                <w:lang w:eastAsia="x-none"/>
              </w:rPr>
              <w:t>Agreement</w:t>
            </w:r>
            <w:r w:rsidRPr="00D35AEE">
              <w:rPr>
                <w:lang w:eastAsia="x-none"/>
              </w:rPr>
              <w:t>:​</w:t>
            </w:r>
          </w:p>
          <w:p w14:paraId="759BD474" w14:textId="77777777" w:rsidR="00CB24C3" w:rsidRPr="004A18B0" w:rsidRDefault="00CB24C3" w:rsidP="009B6744">
            <w:pPr>
              <w:pStyle w:val="Agreement"/>
              <w:numPr>
                <w:ilvl w:val="0"/>
                <w:numId w:val="8"/>
              </w:numPr>
              <w:rPr>
                <w:rFonts w:ascii="Times New Roman" w:hAnsi="Times New Roman"/>
                <w:b w:val="0"/>
                <w:szCs w:val="20"/>
              </w:rPr>
            </w:pPr>
            <w:r w:rsidRPr="004A18B0">
              <w:rPr>
                <w:rFonts w:ascii="Times New Roman" w:hAnsi="Times New Roman"/>
                <w:b w:val="0"/>
                <w:szCs w:val="20"/>
              </w:rPr>
              <w:t xml:space="preserve">R2 assumes that missing measurements due to LBT failures do not impact the R2 specification of L3 filtering and the subsequent steps. </w:t>
            </w:r>
          </w:p>
          <w:p w14:paraId="76325568" w14:textId="77777777" w:rsidR="00CB24C3" w:rsidRPr="004A18B0" w:rsidRDefault="00CB24C3" w:rsidP="009B6744">
            <w:pPr>
              <w:pStyle w:val="Agreement"/>
              <w:numPr>
                <w:ilvl w:val="0"/>
                <w:numId w:val="8"/>
              </w:numPr>
              <w:rPr>
                <w:rFonts w:ascii="Times New Roman" w:hAnsi="Times New Roman"/>
                <w:b w:val="0"/>
                <w:szCs w:val="20"/>
              </w:rPr>
            </w:pPr>
            <w:r w:rsidRPr="004A18B0">
              <w:rPr>
                <w:rFonts w:ascii="Times New Roman" w:hAnsi="Times New Roman"/>
                <w:b w:val="0"/>
                <w:szCs w:val="20"/>
              </w:rPr>
              <w:t>Handling of delayed SSB transmissions due to LBT does not impact L3</w:t>
            </w:r>
          </w:p>
          <w:p w14:paraId="04036CF2" w14:textId="77777777" w:rsidR="00CB24C3" w:rsidRPr="004A18B0" w:rsidRDefault="00CB24C3" w:rsidP="009B6744">
            <w:pPr>
              <w:pStyle w:val="Agreement"/>
              <w:numPr>
                <w:ilvl w:val="0"/>
                <w:numId w:val="8"/>
              </w:numPr>
              <w:rPr>
                <w:rFonts w:ascii="Times New Roman" w:hAnsi="Times New Roman"/>
                <w:b w:val="0"/>
                <w:szCs w:val="20"/>
              </w:rPr>
            </w:pPr>
            <w:r w:rsidRPr="004A18B0">
              <w:rPr>
                <w:rFonts w:ascii="Times New Roman" w:hAnsi="Times New Roman"/>
                <w:b w:val="0"/>
                <w:szCs w:val="20"/>
              </w:rPr>
              <w:lastRenderedPageBreak/>
              <w:t>RSSI and Channel Occupancy configuration and reporting, in particular measurements over an interval (at least for CO) and periodical reporting, are used as a baseline for NR-U</w:t>
            </w:r>
          </w:p>
          <w:p w14:paraId="127744A0" w14:textId="77777777" w:rsidR="00CB24C3" w:rsidRPr="0076280D" w:rsidRDefault="00CB24C3" w:rsidP="009B6744">
            <w:pPr>
              <w:numPr>
                <w:ilvl w:val="0"/>
                <w:numId w:val="8"/>
              </w:numPr>
              <w:rPr>
                <w:lang w:eastAsia="x-none"/>
              </w:rPr>
            </w:pPr>
            <w:r w:rsidRPr="004A18B0">
              <w:rPr>
                <w:szCs w:val="20"/>
              </w:rPr>
              <w:t>Measurement and reporting of WLAN nodes are not supported in NR-U</w:t>
            </w:r>
          </w:p>
        </w:tc>
      </w:tr>
    </w:tbl>
    <w:p w14:paraId="7F2D6B20" w14:textId="77777777" w:rsidR="00CB24C3" w:rsidRPr="008A69EC" w:rsidRDefault="00CB24C3" w:rsidP="00CB24C3"/>
    <w:p w14:paraId="0C73B253" w14:textId="77777777" w:rsidR="00CB24C3" w:rsidRDefault="00CB24C3" w:rsidP="00CB24C3">
      <w:pPr>
        <w:pStyle w:val="RAN4Observation"/>
        <w:jc w:val="both"/>
      </w:pPr>
      <w:r>
        <w:t>RAN2 assumes that missing measurements due to LBT failure do not impact the RAN2 specification, and should be handled by layer 1.</w:t>
      </w:r>
    </w:p>
    <w:p w14:paraId="3CC92890" w14:textId="53DE0FF0" w:rsidR="00B65F6D" w:rsidRDefault="00CB24C3" w:rsidP="00CB24C3">
      <w:r>
        <w:t>Though L1 filtering details are specific to UE implementation, the performance requirements, and evaluation periods are specified by RAN4 specs.</w:t>
      </w:r>
      <w:r w:rsidRPr="00CB24C3">
        <w:t xml:space="preserve"> </w:t>
      </w:r>
      <w:r>
        <w:t xml:space="preserve">Therefore, </w:t>
      </w:r>
      <w:r w:rsidR="00B65F6D">
        <w:t xml:space="preserve">it is up to RAN4 to </w:t>
      </w:r>
      <w:r>
        <w:t xml:space="preserve">handle the missing measurements due to LBT, and </w:t>
      </w:r>
      <w:r w:rsidR="00B65F6D">
        <w:t>adjust the measurement requirements accordingly, to cope with the loss of L1 samples during the measurement period. The same observation applies in case multiple beams are supported for cell-quality indication.</w:t>
      </w:r>
    </w:p>
    <w:p w14:paraId="0C25E645" w14:textId="3163D824" w:rsidR="00B65F6D" w:rsidRDefault="00B65F6D" w:rsidP="00B65F6D">
      <w:pPr>
        <w:pStyle w:val="RAN4observation0"/>
      </w:pPr>
      <w:r>
        <w:t>Missing L1 samples will impact measurement procedures and accuracy.</w:t>
      </w:r>
    </w:p>
    <w:p w14:paraId="2E230077" w14:textId="0D13FF24" w:rsidR="00B65F6D" w:rsidRPr="00B65F6D" w:rsidRDefault="00B65F6D" w:rsidP="00B65F6D">
      <w:pPr>
        <w:pStyle w:val="RAN4proposal"/>
        <w:rPr>
          <w:lang w:val="en-GB"/>
        </w:rPr>
      </w:pPr>
      <w:r>
        <w:rPr>
          <w:lang w:val="en-GB"/>
        </w:rPr>
        <w:t>RAN4 to study the impact of missing L1 samples due to LBT failure and how to handle it in the definition of measurements procedures and accuracy.</w:t>
      </w:r>
    </w:p>
    <w:p w14:paraId="4A39F2F7" w14:textId="77777777" w:rsidR="00B65F6D" w:rsidRPr="00B65F6D" w:rsidRDefault="00B65F6D" w:rsidP="00B65F6D"/>
    <w:p w14:paraId="1EBA9E45" w14:textId="12D54424" w:rsidR="00A90E3B" w:rsidRDefault="00A90E3B" w:rsidP="00943983">
      <w:pPr>
        <w:pStyle w:val="RAN4H2"/>
        <w:jc w:val="both"/>
      </w:pPr>
      <w:r>
        <w:t xml:space="preserve">2.1 </w:t>
      </w:r>
      <w:r w:rsidR="000E5003">
        <w:t xml:space="preserve">Idle and Inactive </w:t>
      </w:r>
      <w:r w:rsidR="00966E36">
        <w:t>mode</w:t>
      </w:r>
      <w:r w:rsidR="005E5408">
        <w:t xml:space="preserve"> </w:t>
      </w:r>
      <w:r w:rsidR="00966E36">
        <w:t xml:space="preserve">measurement </w:t>
      </w:r>
      <w:r w:rsidR="000E5003">
        <w:t>requirements</w:t>
      </w:r>
    </w:p>
    <w:p w14:paraId="71CE3AD4" w14:textId="7B63DD92" w:rsidR="00943983" w:rsidRDefault="000E5003" w:rsidP="00943983">
      <w:pPr>
        <w:jc w:val="both"/>
        <w:rPr>
          <w:lang w:eastAsia="ja-JP"/>
        </w:rPr>
      </w:pPr>
      <w:r>
        <w:t>Currently</w:t>
      </w:r>
      <w:r w:rsidR="00943983">
        <w:t>,</w:t>
      </w:r>
      <w:r>
        <w:t xml:space="preserve"> NR idle and</w:t>
      </w:r>
      <w:r w:rsidR="0007385D">
        <w:t xml:space="preserve"> inactive</w:t>
      </w:r>
      <w:r>
        <w:t xml:space="preserve"> state mobility requirements</w:t>
      </w:r>
      <w:r w:rsidR="0007385D">
        <w:t xml:space="preserve"> are based on measurements of SS-RSRP and SS-RSRQ</w:t>
      </w:r>
      <w:r w:rsidR="00943983">
        <w:t>.</w:t>
      </w:r>
      <w:r w:rsidR="004C1A5B">
        <w:t xml:space="preserve"> </w:t>
      </w:r>
      <w:r w:rsidR="00362C68">
        <w:t xml:space="preserve">Considering cell reselection requirements, </w:t>
      </w:r>
      <w:r w:rsidR="00BE5F1B">
        <w:t xml:space="preserve">the evaluation of the serving cell selection criterion S is done </w:t>
      </w:r>
      <w:r w:rsidR="004C1A5B">
        <w:t xml:space="preserve">at least once every 1 or 2 DRX cycles (FR1), using at least 2 measurements for filtering. </w:t>
      </w:r>
      <w:r w:rsidR="00BC0518">
        <w:t>Though RAN2 assumes that connected and idle mode measurements will follow the same Rel-15 NR framework, it is still confirming this in more detail</w:t>
      </w:r>
      <w:r w:rsidR="00D370E7">
        <w:t xml:space="preserve"> and </w:t>
      </w:r>
      <w:r w:rsidR="00943983">
        <w:t xml:space="preserve">discussing </w:t>
      </w:r>
      <w:r w:rsidR="00943983">
        <w:rPr>
          <w:lang w:eastAsia="ja-JP"/>
        </w:rPr>
        <w:t>necessary extensions for NR-U operation for cell selection/reselection, therefore</w:t>
      </w:r>
      <w:r w:rsidR="00D370E7">
        <w:rPr>
          <w:lang w:eastAsia="ja-JP"/>
        </w:rPr>
        <w:t>,</w:t>
      </w:r>
      <w:r w:rsidR="00943983">
        <w:rPr>
          <w:lang w:eastAsia="ja-JP"/>
        </w:rPr>
        <w:t xml:space="preserve"> it is still early for RAN4 to determine if the current requirements can be reused, or if new requirements are needed.</w:t>
      </w:r>
    </w:p>
    <w:p w14:paraId="45735810" w14:textId="4E6E3573" w:rsidR="008E0A1C" w:rsidRPr="008E0A1C" w:rsidRDefault="008E0A1C" w:rsidP="008E0A1C">
      <w:pPr>
        <w:pStyle w:val="RAN4observation0"/>
      </w:pPr>
      <w:r>
        <w:t>RAN2 is still discussing necessary extensions for NR-U operation for cell selection and reselection.</w:t>
      </w:r>
    </w:p>
    <w:p w14:paraId="1FFB9325" w14:textId="6F401055" w:rsidR="004C1A5B" w:rsidRDefault="00943983" w:rsidP="00943983">
      <w:pPr>
        <w:jc w:val="both"/>
      </w:pPr>
      <w:r>
        <w:t>However, d</w:t>
      </w:r>
      <w:r w:rsidR="004C1A5B">
        <w:t xml:space="preserve">isregarding the decision of RAN1 of the final design of the DRS and the DRS transmission window, </w:t>
      </w:r>
      <w:r>
        <w:t xml:space="preserve">and the RAN2 decision about cell selection and reselection procedures, </w:t>
      </w:r>
      <w:r w:rsidR="004C1A5B">
        <w:t>in NR-U, it is not possible to guarantee at the UE that the DRS was transmitted during the</w:t>
      </w:r>
      <w:r w:rsidR="00F64578">
        <w:t xml:space="preserve"> DRX ON period</w:t>
      </w:r>
      <w:r w:rsidR="004C1A5B">
        <w:t>. Therefore, the requirements of NR-U need to be defined considering that at least one DRS is effectively transmitted during the DRX ON period. The same would be applicable for measurements on intra and inter-frequency NR-U cells.</w:t>
      </w:r>
    </w:p>
    <w:p w14:paraId="4CF8DAB2" w14:textId="47281B54" w:rsidR="0096398E" w:rsidRDefault="0096398E" w:rsidP="0096398E">
      <w:pPr>
        <w:pStyle w:val="RAN4observation0"/>
      </w:pPr>
      <w:r>
        <w:t>Disregarding RAN1 and RAN2 decisions, and the final cell reselection requirements, the applicability of idle and inactive mode requirements should be conditioned to at least one DRS occasion occurring within the UE DRX ON period.</w:t>
      </w:r>
    </w:p>
    <w:p w14:paraId="6FD487CA" w14:textId="00848E1F" w:rsidR="004C1A5B" w:rsidRDefault="00943983" w:rsidP="00943983">
      <w:pPr>
        <w:pStyle w:val="RAN4proposal"/>
        <w:jc w:val="both"/>
      </w:pPr>
      <w:r>
        <w:t>In the definition of cell reselection requirements</w:t>
      </w:r>
      <w:r w:rsidR="00AA1C6E">
        <w:t xml:space="preserve"> for NR-U</w:t>
      </w:r>
      <w:r>
        <w:t xml:space="preserve">, the applicability </w:t>
      </w:r>
      <w:r w:rsidR="00AA1C6E">
        <w:t xml:space="preserve">of requirements </w:t>
      </w:r>
      <w:r>
        <w:t>should be conditioned to at least one DRS occasion occurring within the UE DRX ON period.</w:t>
      </w:r>
    </w:p>
    <w:p w14:paraId="6E34DDA2" w14:textId="77777777" w:rsidR="00943983" w:rsidRPr="00943983" w:rsidRDefault="00943983" w:rsidP="00943983"/>
    <w:p w14:paraId="5A76FB5D" w14:textId="6E71A70D" w:rsidR="00966E36" w:rsidRDefault="00966E36" w:rsidP="00966E36">
      <w:pPr>
        <w:pStyle w:val="RAN4H2"/>
        <w:jc w:val="both"/>
      </w:pPr>
      <w:r>
        <w:t xml:space="preserve">2.2 </w:t>
      </w:r>
      <w:r w:rsidR="00E72B96">
        <w:t>Radio Link Monitoring</w:t>
      </w:r>
    </w:p>
    <w:p w14:paraId="261F3210" w14:textId="77777777" w:rsidR="00D34988" w:rsidRDefault="001622C4" w:rsidP="001622C4">
      <w:pPr>
        <w:jc w:val="both"/>
        <w:rPr>
          <w:rFonts w:eastAsia="Calibri" w:cs="Times New Roman"/>
        </w:rPr>
      </w:pPr>
      <w:r>
        <w:rPr>
          <w:rFonts w:eastAsia="Calibri" w:cs="Times New Roman"/>
        </w:rPr>
        <w:t xml:space="preserve">In NR, both SSB and CSI-RS can be considered as RLM reference signals (RLM-RS). In licensed spectrum, each RLM-RS is evaluated during an evaluation period, which is defined based on the overlapping of the transmissions of RLM-RS, SMTC windows, the periodicity of DRX and measurement gaps. Every indication period, the UE </w:t>
      </w:r>
      <w:r w:rsidR="00D34988">
        <w:rPr>
          <w:rFonts w:eastAsia="Calibri" w:cs="Times New Roman"/>
        </w:rPr>
        <w:t xml:space="preserve">indicates the in-sync (IS) and out-of-sync (OS) status to upper layers. </w:t>
      </w:r>
    </w:p>
    <w:p w14:paraId="083A1562" w14:textId="645B858C" w:rsidR="001622C4" w:rsidRDefault="00D34988" w:rsidP="001622C4">
      <w:pPr>
        <w:jc w:val="both"/>
        <w:rPr>
          <w:rFonts w:eastAsia="Calibri" w:cs="Times New Roman"/>
        </w:rPr>
      </w:pPr>
      <w:r>
        <w:rPr>
          <w:rFonts w:eastAsia="Calibri" w:cs="Times New Roman"/>
          <w:lang w:val="en-GB"/>
        </w:rPr>
        <w:t>In unlicensed spectrum, the periodicity of RLM-RS cannot be guaranteed. Furthermore, the UE cannot differentiate if the OOS condition is met because the channel quality is bad, or because the transmission of RLM-RS was blocked by LBT failure</w:t>
      </w:r>
    </w:p>
    <w:p w14:paraId="4CB9C4BA" w14:textId="78BB6440" w:rsidR="001622C4" w:rsidRDefault="001622C4" w:rsidP="001622C4">
      <w:pPr>
        <w:pStyle w:val="RAN4observation0"/>
      </w:pPr>
      <w:r>
        <w:t>In NR, RLM requirements were defined considering the periodicity of RLM-RS.</w:t>
      </w:r>
    </w:p>
    <w:p w14:paraId="4801DD97" w14:textId="52B18880" w:rsidR="00D34988" w:rsidRPr="00D34988" w:rsidRDefault="00D34988" w:rsidP="00D34988">
      <w:pPr>
        <w:pStyle w:val="RAN4observation0"/>
      </w:pPr>
      <w:r>
        <w:t>In NR-U, the regular transmission of RLM-RS cannot be assumed.</w:t>
      </w:r>
    </w:p>
    <w:p w14:paraId="2AF76D43" w14:textId="3CF2ED18" w:rsidR="00D34988" w:rsidRDefault="00D34988" w:rsidP="00D34988">
      <w:r>
        <w:rPr>
          <w:rFonts w:eastAsia="Calibri" w:cs="Times New Roman"/>
          <w:lang w:val="en-GB"/>
        </w:rPr>
        <w:t xml:space="preserve">.  </w:t>
      </w:r>
      <w:r>
        <w:t>Concerning RLM, RAN1 #96 had the following agreements: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D34988" w14:paraId="00E3B540" w14:textId="77777777" w:rsidTr="009B6744">
        <w:tc>
          <w:tcPr>
            <w:tcW w:w="10138" w:type="dxa"/>
            <w:shd w:val="clear" w:color="auto" w:fill="auto"/>
          </w:tcPr>
          <w:p w14:paraId="71277B4E" w14:textId="77777777" w:rsidR="00D34988" w:rsidRPr="00D35AEE" w:rsidRDefault="00D34988" w:rsidP="009B6744">
            <w:pPr>
              <w:rPr>
                <w:lang w:eastAsia="x-none"/>
              </w:rPr>
            </w:pPr>
            <w:r w:rsidRPr="00D35AEE">
              <w:rPr>
                <w:highlight w:val="green"/>
                <w:lang w:eastAsia="x-none"/>
              </w:rPr>
              <w:lastRenderedPageBreak/>
              <w:t>Agreement</w:t>
            </w:r>
            <w:r w:rsidRPr="00D35AEE">
              <w:rPr>
                <w:lang w:eastAsia="x-none"/>
              </w:rPr>
              <w:t>:​</w:t>
            </w:r>
          </w:p>
          <w:p w14:paraId="12B2429E" w14:textId="77777777" w:rsidR="00D34988" w:rsidRPr="00A17B37" w:rsidRDefault="00D34988" w:rsidP="009B6744">
            <w:pPr>
              <w:numPr>
                <w:ilvl w:val="1"/>
                <w:numId w:val="10"/>
              </w:numPr>
              <w:spacing w:after="0" w:line="240" w:lineRule="auto"/>
              <w:ind w:left="735" w:firstLine="0"/>
              <w:textAlignment w:val="baseline"/>
              <w:rPr>
                <w:rFonts w:eastAsia="Times New Roman" w:cs="Times New Roman"/>
                <w:szCs w:val="20"/>
                <w:lang w:eastAsia="da-DK"/>
              </w:rPr>
            </w:pPr>
            <w:r w:rsidRPr="00A17B37">
              <w:rPr>
                <w:rFonts w:eastAsia="Times New Roman" w:cs="Times New Roman"/>
                <w:szCs w:val="20"/>
                <w:lang w:val="en-GB" w:eastAsia="da-DK"/>
              </w:rPr>
              <w:t>An RLM measurement window for serving cell RLM measurements based on SSBs in the DRS is supported for in-sync and out-of-sync evaluations.</w:t>
            </w:r>
            <w:r w:rsidRPr="00A17B37">
              <w:rPr>
                <w:rFonts w:eastAsia="Times New Roman" w:cs="Times New Roman"/>
                <w:szCs w:val="20"/>
                <w:lang w:eastAsia="da-DK"/>
              </w:rPr>
              <w:t> </w:t>
            </w:r>
          </w:p>
          <w:p w14:paraId="5BB274CC" w14:textId="77777777" w:rsidR="00D34988" w:rsidRPr="00A17B37" w:rsidRDefault="00D34988" w:rsidP="009B6744">
            <w:pPr>
              <w:numPr>
                <w:ilvl w:val="1"/>
                <w:numId w:val="11"/>
              </w:numPr>
              <w:spacing w:after="0" w:line="240" w:lineRule="auto"/>
              <w:ind w:left="1455" w:firstLine="0"/>
              <w:textAlignment w:val="baseline"/>
              <w:rPr>
                <w:rFonts w:eastAsia="Times New Roman" w:cs="Times New Roman"/>
                <w:szCs w:val="20"/>
                <w:lang w:eastAsia="da-DK"/>
              </w:rPr>
            </w:pPr>
            <w:r w:rsidRPr="00A17B37">
              <w:rPr>
                <w:rFonts w:eastAsia="Times New Roman" w:cs="Times New Roman"/>
                <w:szCs w:val="20"/>
                <w:lang w:val="en-GB" w:eastAsia="da-DK"/>
              </w:rPr>
              <w:t>FFS: How RLM measurement window is indicated or determined and relation to DRS transmission window</w:t>
            </w:r>
            <w:r w:rsidRPr="00A17B37">
              <w:rPr>
                <w:rFonts w:eastAsia="Times New Roman" w:cs="Times New Roman"/>
                <w:szCs w:val="20"/>
                <w:lang w:eastAsia="da-DK"/>
              </w:rPr>
              <w:t> </w:t>
            </w:r>
          </w:p>
          <w:p w14:paraId="6837A84C" w14:textId="77777777" w:rsidR="00D34988" w:rsidRPr="00A17B37" w:rsidRDefault="00D34988" w:rsidP="009B6744">
            <w:pPr>
              <w:numPr>
                <w:ilvl w:val="1"/>
                <w:numId w:val="11"/>
              </w:numPr>
              <w:spacing w:after="0" w:line="240" w:lineRule="auto"/>
              <w:ind w:left="1455" w:firstLine="0"/>
              <w:textAlignment w:val="baseline"/>
              <w:rPr>
                <w:rFonts w:eastAsia="Times New Roman" w:cs="Times New Roman"/>
                <w:szCs w:val="20"/>
                <w:lang w:eastAsia="da-DK"/>
              </w:rPr>
            </w:pPr>
            <w:r w:rsidRPr="00A17B37">
              <w:rPr>
                <w:rFonts w:eastAsia="Times New Roman" w:cs="Times New Roman"/>
                <w:szCs w:val="20"/>
                <w:lang w:val="en-GB" w:eastAsia="da-DK"/>
              </w:rPr>
              <w:t>FFS: Whether or not an SSB can fall outside the measurement window and, if so, whether it can be used for in-sync and out-of-sync evaluations.</w:t>
            </w:r>
            <w:r w:rsidRPr="00A17B37">
              <w:rPr>
                <w:rFonts w:eastAsia="Times New Roman" w:cs="Times New Roman"/>
                <w:szCs w:val="20"/>
                <w:lang w:eastAsia="da-DK"/>
              </w:rPr>
              <w:t> </w:t>
            </w:r>
          </w:p>
          <w:p w14:paraId="3A4064EB" w14:textId="77777777" w:rsidR="00D34988" w:rsidRPr="00A17B37" w:rsidRDefault="00D34988" w:rsidP="009B6744">
            <w:pPr>
              <w:numPr>
                <w:ilvl w:val="1"/>
                <w:numId w:val="11"/>
              </w:numPr>
              <w:spacing w:after="30" w:line="240" w:lineRule="auto"/>
              <w:ind w:left="1455" w:firstLine="0"/>
              <w:textAlignment w:val="baseline"/>
              <w:rPr>
                <w:rFonts w:eastAsia="Times New Roman" w:cs="Times New Roman"/>
                <w:szCs w:val="20"/>
                <w:lang w:eastAsia="da-DK"/>
              </w:rPr>
            </w:pPr>
            <w:r w:rsidRPr="00A17B37">
              <w:rPr>
                <w:rFonts w:eastAsia="Times New Roman" w:cs="Times New Roman"/>
                <w:szCs w:val="20"/>
                <w:lang w:val="en-GB" w:eastAsia="da-DK"/>
              </w:rPr>
              <w:t>FFS: Any relationship of RLM measurements based on CSI-RS to the measurement window.</w:t>
            </w:r>
            <w:r w:rsidRPr="00A17B37">
              <w:rPr>
                <w:rFonts w:eastAsia="Times New Roman" w:cs="Times New Roman"/>
                <w:szCs w:val="20"/>
                <w:lang w:eastAsia="da-DK"/>
              </w:rPr>
              <w:t> </w:t>
            </w:r>
          </w:p>
          <w:p w14:paraId="536C6822" w14:textId="77777777" w:rsidR="00D34988" w:rsidRPr="0076280D" w:rsidRDefault="00D34988" w:rsidP="009B6744">
            <w:pPr>
              <w:numPr>
                <w:ilvl w:val="0"/>
                <w:numId w:val="8"/>
              </w:numPr>
              <w:rPr>
                <w:lang w:eastAsia="x-none"/>
              </w:rPr>
            </w:pPr>
            <w:r w:rsidRPr="00A17B37">
              <w:rPr>
                <w:rFonts w:eastAsia="Times New Roman" w:cs="Times New Roman"/>
                <w:szCs w:val="20"/>
                <w:lang w:val="en-GB" w:eastAsia="da-DK"/>
              </w:rPr>
              <w:t>FFS: Mechanism to handle missing RLM-RS due to LBT failure</w:t>
            </w:r>
            <w:r w:rsidRPr="00A17B37">
              <w:rPr>
                <w:rFonts w:eastAsia="Times New Roman" w:cs="Times New Roman"/>
                <w:sz w:val="22"/>
                <w:lang w:eastAsia="da-DK"/>
              </w:rPr>
              <w:t> </w:t>
            </w:r>
          </w:p>
        </w:tc>
      </w:tr>
    </w:tbl>
    <w:p w14:paraId="098225E7" w14:textId="61D28CE9" w:rsidR="001622C4" w:rsidRPr="00D34988" w:rsidRDefault="001622C4" w:rsidP="001622C4">
      <w:pPr>
        <w:jc w:val="both"/>
        <w:rPr>
          <w:rFonts w:eastAsia="Calibri" w:cs="Times New Roman"/>
        </w:rPr>
      </w:pPr>
    </w:p>
    <w:p w14:paraId="7B8D92F1" w14:textId="6F9997FC" w:rsidR="00E72B96" w:rsidRPr="00E72B96" w:rsidRDefault="00E72B96" w:rsidP="001622C4">
      <w:pPr>
        <w:spacing w:after="0" w:line="240" w:lineRule="auto"/>
        <w:jc w:val="both"/>
        <w:textAlignment w:val="baseline"/>
        <w:rPr>
          <w:rFonts w:eastAsia="Times New Roman" w:cs="Times New Roman"/>
          <w:szCs w:val="20"/>
          <w:lang w:eastAsia="da-DK"/>
        </w:rPr>
      </w:pPr>
    </w:p>
    <w:p w14:paraId="27E4CE32" w14:textId="6EF07729" w:rsidR="00D34988" w:rsidRPr="00D34988" w:rsidRDefault="00E72B96" w:rsidP="00D34988">
      <w:pPr>
        <w:spacing w:after="0" w:line="240" w:lineRule="auto"/>
        <w:jc w:val="both"/>
        <w:textAlignment w:val="baseline"/>
        <w:rPr>
          <w:rFonts w:eastAsia="Times New Roman" w:cs="Times New Roman"/>
          <w:szCs w:val="20"/>
          <w:lang w:eastAsia="da-DK"/>
        </w:rPr>
      </w:pPr>
      <w:r w:rsidRPr="00E72B96">
        <w:rPr>
          <w:rFonts w:eastAsia="Times New Roman" w:cs="Times New Roman"/>
          <w:szCs w:val="20"/>
          <w:lang w:val="en-GB" w:eastAsia="da-DK"/>
        </w:rPr>
        <w:t>Enhancements on the RLM-RS, as well as which set of measurements can be used for in-sync and out-of-sync evaluations, are still under discussion in RAN 1 and 2.</w:t>
      </w:r>
      <w:r w:rsidRPr="00E72B96">
        <w:rPr>
          <w:rFonts w:eastAsia="Times New Roman" w:cs="Times New Roman"/>
          <w:szCs w:val="20"/>
          <w:lang w:eastAsia="da-DK"/>
        </w:rPr>
        <w:t> </w:t>
      </w:r>
      <w:r w:rsidRPr="00E72B96">
        <w:rPr>
          <w:rFonts w:eastAsia="Times New Roman" w:cs="Times New Roman"/>
          <w:szCs w:val="20"/>
          <w:lang w:val="en-GB" w:eastAsia="da-DK"/>
        </w:rPr>
        <w:t> T</w:t>
      </w:r>
      <w:r w:rsidRPr="00E72B96">
        <w:rPr>
          <w:rFonts w:eastAsia="Times New Roman" w:cs="Times New Roman"/>
          <w:szCs w:val="20"/>
          <w:lang w:eastAsia="da-DK"/>
        </w:rPr>
        <w:t>he outcome of these discussions will impact the definition of requirements in RAN4, which are currently based on the periodicity of RLM-RS. Furthermore, as in the RRM requirements, RAN4 needs to study and define requirements for cases where RLM-RS samples are missing. </w:t>
      </w:r>
    </w:p>
    <w:p w14:paraId="6001FB71" w14:textId="77777777" w:rsidR="00D354C4" w:rsidRPr="00E72B96" w:rsidRDefault="00D354C4" w:rsidP="00D354C4">
      <w:pPr>
        <w:spacing w:after="0" w:line="240" w:lineRule="auto"/>
        <w:jc w:val="both"/>
        <w:textAlignment w:val="baseline"/>
        <w:rPr>
          <w:rFonts w:eastAsia="Times New Roman" w:cs="Times New Roman"/>
          <w:szCs w:val="20"/>
          <w:lang w:eastAsia="da-DK"/>
        </w:rPr>
      </w:pPr>
    </w:p>
    <w:p w14:paraId="7571FD5F" w14:textId="3E493531" w:rsidR="00E72B96" w:rsidRPr="00E72B96" w:rsidRDefault="00E72B96" w:rsidP="00D354C4">
      <w:pPr>
        <w:pStyle w:val="RAN4proposal"/>
        <w:jc w:val="both"/>
        <w:rPr>
          <w:lang w:eastAsia="da-DK"/>
        </w:rPr>
      </w:pPr>
      <w:r w:rsidRPr="00E72B96">
        <w:rPr>
          <w:lang w:val="en-GB" w:eastAsia="da-DK"/>
        </w:rPr>
        <w:t xml:space="preserve">RAN4 to discuss how to count and how to consider both the detected </w:t>
      </w:r>
      <w:r w:rsidR="00B171F0">
        <w:rPr>
          <w:lang w:val="en-GB" w:eastAsia="da-DK"/>
        </w:rPr>
        <w:t xml:space="preserve">and missed </w:t>
      </w:r>
      <w:r w:rsidRPr="00E72B96">
        <w:rPr>
          <w:lang w:val="en-GB" w:eastAsia="da-DK"/>
        </w:rPr>
        <w:t>RLM-RS</w:t>
      </w:r>
      <w:r w:rsidR="00B171F0">
        <w:rPr>
          <w:lang w:val="en-GB" w:eastAsia="da-DK"/>
        </w:rPr>
        <w:t xml:space="preserve"> </w:t>
      </w:r>
      <w:r w:rsidR="00B171F0" w:rsidRPr="0083342A">
        <w:rPr>
          <w:i/>
          <w:lang w:val="en-GB" w:eastAsia="da-DK"/>
        </w:rPr>
        <w:t>within</w:t>
      </w:r>
      <w:r w:rsidR="00B171F0">
        <w:rPr>
          <w:lang w:val="en-GB" w:eastAsia="da-DK"/>
        </w:rPr>
        <w:t xml:space="preserve"> the </w:t>
      </w:r>
      <w:r w:rsidR="001622C4">
        <w:rPr>
          <w:lang w:val="en-GB" w:eastAsia="da-DK"/>
        </w:rPr>
        <w:t>DRS transmission window</w:t>
      </w:r>
      <w:r w:rsidR="00B171F0">
        <w:rPr>
          <w:lang w:val="en-GB" w:eastAsia="da-DK"/>
        </w:rPr>
        <w:t xml:space="preserve"> for IS and OOS indications</w:t>
      </w:r>
      <w:r w:rsidRPr="00E72B96">
        <w:rPr>
          <w:lang w:val="en-GB" w:eastAsia="da-DK"/>
        </w:rPr>
        <w:t>,</w:t>
      </w:r>
      <w:r w:rsidR="00CB24C3">
        <w:rPr>
          <w:lang w:val="en-GB" w:eastAsia="da-DK"/>
        </w:rPr>
        <w:t xml:space="preserve"> </w:t>
      </w:r>
      <w:r w:rsidRPr="00E72B96">
        <w:rPr>
          <w:lang w:val="en-GB" w:eastAsia="da-DK"/>
        </w:rPr>
        <w:t xml:space="preserve">and wait </w:t>
      </w:r>
      <w:r w:rsidR="00B171F0">
        <w:rPr>
          <w:lang w:val="en-GB" w:eastAsia="da-DK"/>
        </w:rPr>
        <w:t>for the</w:t>
      </w:r>
      <w:r w:rsidRPr="00E72B96">
        <w:rPr>
          <w:lang w:val="en-GB" w:eastAsia="da-DK"/>
        </w:rPr>
        <w:t xml:space="preserve"> decision about RLM-RS signals transmitted </w:t>
      </w:r>
      <w:r w:rsidRPr="00E72B96">
        <w:rPr>
          <w:i/>
          <w:lang w:val="en-GB" w:eastAsia="da-DK"/>
        </w:rPr>
        <w:t>outside</w:t>
      </w:r>
      <w:r w:rsidRPr="00E72B96">
        <w:rPr>
          <w:lang w:val="en-GB" w:eastAsia="da-DK"/>
        </w:rPr>
        <w:t xml:space="preserve"> of the </w:t>
      </w:r>
      <w:r w:rsidR="001622C4">
        <w:rPr>
          <w:lang w:val="en-GB" w:eastAsia="da-DK"/>
        </w:rPr>
        <w:t>DRS transmission</w:t>
      </w:r>
      <w:r w:rsidRPr="00E72B96">
        <w:rPr>
          <w:lang w:val="en-GB" w:eastAsia="da-DK"/>
        </w:rPr>
        <w:t>.</w:t>
      </w:r>
      <w:r w:rsidRPr="00E72B96">
        <w:rPr>
          <w:lang w:eastAsia="da-DK"/>
        </w:rPr>
        <w:t> </w:t>
      </w:r>
    </w:p>
    <w:p w14:paraId="1C62FE11" w14:textId="5CDB4595" w:rsidR="00D354C4" w:rsidRDefault="00D354C4" w:rsidP="00D354C4">
      <w:pPr>
        <w:pStyle w:val="RAN4H1"/>
      </w:pPr>
      <w:r>
        <w:t>3. Conclusions</w:t>
      </w:r>
    </w:p>
    <w:p w14:paraId="63093F57" w14:textId="429C0A69" w:rsidR="00F84643" w:rsidRDefault="00F84643" w:rsidP="00F84643">
      <w:pPr>
        <w:spacing w:after="0" w:line="240" w:lineRule="auto"/>
        <w:jc w:val="both"/>
        <w:textAlignment w:val="baseline"/>
        <w:rPr>
          <w:rFonts w:eastAsia="Times New Roman" w:cs="Times New Roman"/>
          <w:szCs w:val="20"/>
          <w:lang w:val="en-GB" w:eastAsia="da-DK"/>
        </w:rPr>
      </w:pPr>
      <w:r w:rsidRPr="00F84643">
        <w:rPr>
          <w:rFonts w:eastAsia="Times New Roman" w:cs="Times New Roman"/>
          <w:szCs w:val="20"/>
          <w:lang w:val="en-GB" w:eastAsia="da-DK"/>
        </w:rPr>
        <w:t>In this document</w:t>
      </w:r>
      <w:r>
        <w:rPr>
          <w:rFonts w:eastAsia="Times New Roman" w:cs="Times New Roman"/>
          <w:szCs w:val="20"/>
          <w:lang w:val="en-GB" w:eastAsia="da-DK"/>
        </w:rPr>
        <w:t>, we discussed RRM requirements for NR-U</w:t>
      </w:r>
      <w:bookmarkStart w:id="5" w:name="_GoBack"/>
      <w:bookmarkEnd w:id="5"/>
      <w:r>
        <w:rPr>
          <w:rFonts w:eastAsia="Times New Roman" w:cs="Times New Roman"/>
          <w:szCs w:val="20"/>
          <w:lang w:val="en-GB" w:eastAsia="da-DK"/>
        </w:rPr>
        <w:t>. Based on the discussions, we make the following proposals and observations:</w:t>
      </w:r>
    </w:p>
    <w:p w14:paraId="6CD0F070" w14:textId="26A4D6F3" w:rsidR="00F84643" w:rsidRDefault="00F84643" w:rsidP="00F84643">
      <w:pPr>
        <w:spacing w:after="0" w:line="240" w:lineRule="auto"/>
        <w:jc w:val="both"/>
        <w:textAlignment w:val="baseline"/>
        <w:rPr>
          <w:rFonts w:eastAsia="Times New Roman" w:cs="Times New Roman"/>
          <w:szCs w:val="20"/>
          <w:lang w:val="en-GB" w:eastAsia="da-DK"/>
        </w:rPr>
      </w:pPr>
    </w:p>
    <w:p w14:paraId="54471FFB" w14:textId="77777777" w:rsidR="00F84643" w:rsidRDefault="00F84643" w:rsidP="00F84643">
      <w:pPr>
        <w:pStyle w:val="RAN4Observation"/>
        <w:numPr>
          <w:ilvl w:val="0"/>
          <w:numId w:val="14"/>
        </w:numPr>
        <w:spacing w:before="240"/>
      </w:pPr>
      <w:r w:rsidRPr="00C27CD5">
        <w:t>In unlicensed carriers, UEs cannot expect regular transmission of control and reference signals due to the uncertainty of the outcome of LBT</w:t>
      </w:r>
      <w:r>
        <w:t>, which may cause the transmissions to be either dropped or delayed.</w:t>
      </w:r>
    </w:p>
    <w:p w14:paraId="2A31E923" w14:textId="77777777" w:rsidR="00F84643" w:rsidRDefault="00F84643" w:rsidP="00F84643">
      <w:pPr>
        <w:pStyle w:val="RAN4Observation"/>
        <w:numPr>
          <w:ilvl w:val="0"/>
          <w:numId w:val="14"/>
        </w:numPr>
        <w:spacing w:before="240"/>
        <w:jc w:val="both"/>
      </w:pPr>
      <w:r>
        <w:t>RAN1 has defined a DRS transmission window, i.e, an interval of time where the SSBs are expected to be transmitted, to account for the irregular transmission of SSBs.</w:t>
      </w:r>
    </w:p>
    <w:p w14:paraId="57C9B396" w14:textId="77777777" w:rsidR="00F84643" w:rsidRDefault="00F84643" w:rsidP="00F84643">
      <w:pPr>
        <w:pStyle w:val="RAN4Observation"/>
        <w:numPr>
          <w:ilvl w:val="0"/>
          <w:numId w:val="14"/>
        </w:numPr>
        <w:spacing w:before="240"/>
        <w:jc w:val="both"/>
      </w:pPr>
      <w:r>
        <w:t>RAN1 is still discussing the DRS, and the DRS transmission window designs.</w:t>
      </w:r>
    </w:p>
    <w:p w14:paraId="4EABCDCC" w14:textId="00D86647" w:rsidR="00F84643" w:rsidRDefault="00F84643" w:rsidP="00F84643">
      <w:pPr>
        <w:pStyle w:val="RAN4Observation"/>
        <w:numPr>
          <w:ilvl w:val="0"/>
          <w:numId w:val="14"/>
        </w:numPr>
        <w:spacing w:before="240"/>
        <w:jc w:val="both"/>
      </w:pPr>
      <w:r>
        <w:t>RAN2 assumes that missing measurements due to LBT failure do not impact the RAN2 specification, and should be handled by layer 1.</w:t>
      </w:r>
    </w:p>
    <w:p w14:paraId="704A5E64" w14:textId="77777777" w:rsidR="00F84643" w:rsidRDefault="00F84643" w:rsidP="00F84643">
      <w:pPr>
        <w:pStyle w:val="RAN4Observation"/>
        <w:numPr>
          <w:ilvl w:val="0"/>
          <w:numId w:val="14"/>
        </w:numPr>
      </w:pPr>
      <w:r>
        <w:t>Missing L1 samples will impact measurement procedures and accuracy.</w:t>
      </w:r>
    </w:p>
    <w:p w14:paraId="76ACE689" w14:textId="77777777" w:rsidR="00F84643" w:rsidRPr="008E0A1C" w:rsidRDefault="00F84643" w:rsidP="00F84643">
      <w:pPr>
        <w:pStyle w:val="RAN4Observation"/>
        <w:numPr>
          <w:ilvl w:val="0"/>
          <w:numId w:val="14"/>
        </w:numPr>
      </w:pPr>
      <w:r>
        <w:t>RAN2 is still discussing necessary extensions for NR-U operation for cell selection and reselection.</w:t>
      </w:r>
    </w:p>
    <w:p w14:paraId="3AE1A698" w14:textId="77777777" w:rsidR="00F84643" w:rsidRDefault="00F84643" w:rsidP="00F84643">
      <w:pPr>
        <w:pStyle w:val="RAN4Observation"/>
        <w:numPr>
          <w:ilvl w:val="0"/>
          <w:numId w:val="14"/>
        </w:numPr>
      </w:pPr>
      <w:r>
        <w:t>Disregarding RAN1 and RAN2 decisions, and the final cell reselection requirements, the applicability of idle and inactive mode requirements should be conditioned to at least one DRS occasion occurring within the UE DRX ON period.</w:t>
      </w:r>
    </w:p>
    <w:p w14:paraId="255F17FE" w14:textId="77777777" w:rsidR="00F84643" w:rsidRDefault="00F84643" w:rsidP="00F84643">
      <w:pPr>
        <w:pStyle w:val="RAN4Observation"/>
        <w:numPr>
          <w:ilvl w:val="0"/>
          <w:numId w:val="14"/>
        </w:numPr>
      </w:pPr>
      <w:r>
        <w:t>In NR, RLM requirements were defined considering the periodicity of RLM-RS.</w:t>
      </w:r>
    </w:p>
    <w:p w14:paraId="4C283D2B" w14:textId="77777777" w:rsidR="00F84643" w:rsidRPr="00D34988" w:rsidRDefault="00F84643" w:rsidP="00F84643">
      <w:pPr>
        <w:pStyle w:val="RAN4Observation"/>
        <w:numPr>
          <w:ilvl w:val="0"/>
          <w:numId w:val="14"/>
        </w:numPr>
      </w:pPr>
      <w:r>
        <w:t>In NR-U, the regular transmission of RLM-RS cannot be assumed.</w:t>
      </w:r>
    </w:p>
    <w:p w14:paraId="08D86293" w14:textId="78DE4FE2" w:rsidR="00F84643" w:rsidRDefault="00F84643" w:rsidP="00F84643">
      <w:pPr>
        <w:rPr>
          <w:lang w:val="en-GB"/>
        </w:rPr>
      </w:pPr>
    </w:p>
    <w:p w14:paraId="68EC43E7" w14:textId="1C63FFDA" w:rsidR="00F84643" w:rsidRPr="00F84643" w:rsidRDefault="00F84643" w:rsidP="00F84643">
      <w:pPr>
        <w:pStyle w:val="RAN4proposal"/>
        <w:numPr>
          <w:ilvl w:val="0"/>
          <w:numId w:val="15"/>
        </w:numPr>
        <w:jc w:val="both"/>
        <w:rPr>
          <w:lang w:val="en-GB"/>
        </w:rPr>
      </w:pPr>
      <w:r w:rsidRPr="00F84643">
        <w:rPr>
          <w:lang w:val="en-GB"/>
        </w:rPr>
        <w:t>In the definition of requirements, RAN4 to consider that reference signals might not be present during the measurement period.</w:t>
      </w:r>
    </w:p>
    <w:p w14:paraId="03AB97D4" w14:textId="0A8B3985" w:rsidR="00F84643" w:rsidRPr="00DD0A73" w:rsidRDefault="00DD0A73" w:rsidP="004A461A">
      <w:pPr>
        <w:pStyle w:val="RAN4proposal"/>
        <w:numPr>
          <w:ilvl w:val="0"/>
          <w:numId w:val="15"/>
        </w:numPr>
        <w:rPr>
          <w:lang w:val="en-GB"/>
        </w:rPr>
      </w:pPr>
      <w:r w:rsidRPr="00DD0A73">
        <w:rPr>
          <w:lang w:val="en-GB"/>
        </w:rPr>
        <w:t>RAN4 to study the impact of missing L1 samples due to LBT failure and how to handle it in the definition of measurements procedures and accuracy.</w:t>
      </w:r>
    </w:p>
    <w:p w14:paraId="69F9A07E" w14:textId="77777777" w:rsidR="00DD0A73" w:rsidRDefault="00DD0A73" w:rsidP="00DD0A73">
      <w:pPr>
        <w:pStyle w:val="RAN4proposal"/>
        <w:jc w:val="both"/>
      </w:pPr>
      <w:r>
        <w:t>In the definition of cell reselection requirements for NR-U, the applicability of requirements should be conditioned to at least one DRS occasion occurring within the UE DRX ON period.</w:t>
      </w:r>
    </w:p>
    <w:p w14:paraId="66AF2BA3" w14:textId="77777777" w:rsidR="00DD0A73" w:rsidRPr="00E72B96" w:rsidRDefault="00DD0A73" w:rsidP="00DD0A73">
      <w:pPr>
        <w:pStyle w:val="RAN4proposal"/>
        <w:jc w:val="both"/>
        <w:rPr>
          <w:lang w:eastAsia="da-DK"/>
        </w:rPr>
      </w:pPr>
      <w:r w:rsidRPr="00E72B96">
        <w:rPr>
          <w:lang w:val="en-GB" w:eastAsia="da-DK"/>
        </w:rPr>
        <w:t xml:space="preserve">RAN4 to discuss how to count and how to consider both the detected </w:t>
      </w:r>
      <w:r>
        <w:rPr>
          <w:lang w:val="en-GB" w:eastAsia="da-DK"/>
        </w:rPr>
        <w:t xml:space="preserve">and missed </w:t>
      </w:r>
      <w:r w:rsidRPr="00E72B96">
        <w:rPr>
          <w:lang w:val="en-GB" w:eastAsia="da-DK"/>
        </w:rPr>
        <w:t>RLM-RS</w:t>
      </w:r>
      <w:r>
        <w:rPr>
          <w:lang w:val="en-GB" w:eastAsia="da-DK"/>
        </w:rPr>
        <w:t xml:space="preserve"> </w:t>
      </w:r>
      <w:r w:rsidRPr="0083342A">
        <w:rPr>
          <w:i/>
          <w:lang w:val="en-GB" w:eastAsia="da-DK"/>
        </w:rPr>
        <w:t>within</w:t>
      </w:r>
      <w:r>
        <w:rPr>
          <w:lang w:val="en-GB" w:eastAsia="da-DK"/>
        </w:rPr>
        <w:t xml:space="preserve"> the DRS transmission window for IS and OOS indications</w:t>
      </w:r>
      <w:r w:rsidRPr="00E72B96">
        <w:rPr>
          <w:lang w:val="en-GB" w:eastAsia="da-DK"/>
        </w:rPr>
        <w:t>,</w:t>
      </w:r>
      <w:r>
        <w:rPr>
          <w:lang w:val="en-GB" w:eastAsia="da-DK"/>
        </w:rPr>
        <w:t xml:space="preserve"> </w:t>
      </w:r>
      <w:r w:rsidRPr="00E72B96">
        <w:rPr>
          <w:lang w:val="en-GB" w:eastAsia="da-DK"/>
        </w:rPr>
        <w:t xml:space="preserve">and wait </w:t>
      </w:r>
      <w:r>
        <w:rPr>
          <w:lang w:val="en-GB" w:eastAsia="da-DK"/>
        </w:rPr>
        <w:t>for the</w:t>
      </w:r>
      <w:r w:rsidRPr="00E72B96">
        <w:rPr>
          <w:lang w:val="en-GB" w:eastAsia="da-DK"/>
        </w:rPr>
        <w:t xml:space="preserve"> decision about RLM-RS signals transmitted </w:t>
      </w:r>
      <w:r w:rsidRPr="00E72B96">
        <w:rPr>
          <w:i/>
          <w:lang w:val="en-GB" w:eastAsia="da-DK"/>
        </w:rPr>
        <w:t>outside</w:t>
      </w:r>
      <w:r w:rsidRPr="00E72B96">
        <w:rPr>
          <w:lang w:val="en-GB" w:eastAsia="da-DK"/>
        </w:rPr>
        <w:t xml:space="preserve"> of the </w:t>
      </w:r>
      <w:r>
        <w:rPr>
          <w:lang w:val="en-GB" w:eastAsia="da-DK"/>
        </w:rPr>
        <w:t>DRS transmission</w:t>
      </w:r>
      <w:r w:rsidRPr="00E72B96">
        <w:rPr>
          <w:lang w:val="en-GB" w:eastAsia="da-DK"/>
        </w:rPr>
        <w:t>.</w:t>
      </w:r>
      <w:r w:rsidRPr="00E72B96">
        <w:rPr>
          <w:lang w:eastAsia="da-DK"/>
        </w:rPr>
        <w:t> </w:t>
      </w:r>
    </w:p>
    <w:p w14:paraId="39433A12" w14:textId="77777777" w:rsidR="00D354C4" w:rsidRDefault="00D354C4" w:rsidP="0008612A">
      <w:pPr>
        <w:pStyle w:val="RAN4H1"/>
      </w:pPr>
    </w:p>
    <w:p w14:paraId="0E87B0FA" w14:textId="0E6E51C2" w:rsidR="003B659E" w:rsidRPr="0095295C" w:rsidRDefault="003B659E" w:rsidP="0008612A">
      <w:pPr>
        <w:pStyle w:val="RAN4H1"/>
      </w:pPr>
      <w:r w:rsidRPr="0095295C">
        <w:t>References</w:t>
      </w:r>
    </w:p>
    <w:p w14:paraId="069D1967" w14:textId="77777777" w:rsidR="001109F8" w:rsidRPr="0082015A" w:rsidRDefault="001109F8" w:rsidP="001109F8">
      <w:pPr>
        <w:numPr>
          <w:ilvl w:val="0"/>
          <w:numId w:val="1"/>
        </w:numPr>
        <w:overflowPunct w:val="0"/>
        <w:autoSpaceDE w:val="0"/>
        <w:autoSpaceDN w:val="0"/>
        <w:adjustRightInd w:val="0"/>
        <w:spacing w:after="120" w:line="240" w:lineRule="auto"/>
        <w:jc w:val="both"/>
        <w:textAlignment w:val="baseline"/>
        <w:rPr>
          <w:lang w:val="en-GB"/>
        </w:rPr>
      </w:pPr>
      <w:bookmarkStart w:id="6" w:name="_Ref431017336"/>
      <w:r w:rsidRPr="0082015A">
        <w:rPr>
          <w:rFonts w:eastAsia="Times New Roman" w:cs="Times New Roman"/>
          <w:szCs w:val="20"/>
          <w:lang w:val="en-GB"/>
        </w:rPr>
        <w:t>RP-182878</w:t>
      </w:r>
      <w:r w:rsidR="00FC1E8B" w:rsidRPr="0082015A">
        <w:rPr>
          <w:rFonts w:eastAsia="Times New Roman" w:cs="Times New Roman"/>
          <w:szCs w:val="20"/>
          <w:lang w:val="en-GB"/>
        </w:rPr>
        <w:t>;</w:t>
      </w:r>
      <w:r w:rsidRPr="0082015A">
        <w:rPr>
          <w:rFonts w:eastAsia="Times New Roman" w:cs="Times New Roman"/>
          <w:szCs w:val="20"/>
          <w:lang w:val="en-GB"/>
        </w:rPr>
        <w:t xml:space="preserve"> </w:t>
      </w:r>
      <w:r w:rsidR="00FC1E8B" w:rsidRPr="0082015A">
        <w:rPr>
          <w:rFonts w:eastAsia="Times New Roman" w:cs="Times New Roman"/>
          <w:szCs w:val="20"/>
          <w:lang w:val="en-GB"/>
        </w:rPr>
        <w:t>“</w:t>
      </w:r>
      <w:r w:rsidRPr="0082015A">
        <w:rPr>
          <w:rFonts w:eastAsia="Times New Roman" w:cs="Times New Roman"/>
          <w:szCs w:val="20"/>
          <w:lang w:val="en-GB"/>
        </w:rPr>
        <w:t>New WID on NR-based Access to Unlicensed Spectrum</w:t>
      </w:r>
      <w:r w:rsidR="00FC1E8B" w:rsidRPr="0082015A">
        <w:rPr>
          <w:rFonts w:eastAsia="Times New Roman" w:cs="Times New Roman"/>
          <w:szCs w:val="20"/>
          <w:lang w:val="en-GB"/>
        </w:rPr>
        <w:t>”</w:t>
      </w:r>
      <w:r w:rsidRPr="0082015A">
        <w:rPr>
          <w:rFonts w:eastAsia="Times New Roman" w:cs="Times New Roman"/>
          <w:szCs w:val="20"/>
          <w:lang w:val="en-GB"/>
        </w:rPr>
        <w:t>, Qualcomm Inc.</w:t>
      </w:r>
      <w:bookmarkEnd w:id="6"/>
    </w:p>
    <w:p w14:paraId="53E428D5" w14:textId="5F5156C1" w:rsidR="003B659E" w:rsidRDefault="001109F8" w:rsidP="001109F8">
      <w:pPr>
        <w:numPr>
          <w:ilvl w:val="0"/>
          <w:numId w:val="1"/>
        </w:numPr>
        <w:overflowPunct w:val="0"/>
        <w:autoSpaceDE w:val="0"/>
        <w:autoSpaceDN w:val="0"/>
        <w:adjustRightInd w:val="0"/>
        <w:spacing w:after="120" w:line="240" w:lineRule="auto"/>
        <w:jc w:val="both"/>
        <w:textAlignment w:val="baseline"/>
        <w:rPr>
          <w:lang w:val="en-GB"/>
        </w:rPr>
      </w:pPr>
      <w:bookmarkStart w:id="7" w:name="_Ref2843888"/>
      <w:r>
        <w:rPr>
          <w:lang w:val="en-GB"/>
        </w:rPr>
        <w:t>3GPP TR-38.889 v.1.0.0, “Study on NR-based Access to Unlicensed Spectrum”.</w:t>
      </w:r>
      <w:bookmarkEnd w:id="7"/>
      <w:r>
        <w:rPr>
          <w:lang w:val="en-GB"/>
        </w:rPr>
        <w:t xml:space="preserve"> </w:t>
      </w:r>
    </w:p>
    <w:p w14:paraId="4E7A0F0B" w14:textId="622665E9" w:rsidR="000E23A6" w:rsidRDefault="000E23A6" w:rsidP="001109F8">
      <w:pPr>
        <w:numPr>
          <w:ilvl w:val="0"/>
          <w:numId w:val="1"/>
        </w:numPr>
        <w:overflowPunct w:val="0"/>
        <w:autoSpaceDE w:val="0"/>
        <w:autoSpaceDN w:val="0"/>
        <w:adjustRightInd w:val="0"/>
        <w:spacing w:after="120" w:line="240" w:lineRule="auto"/>
        <w:jc w:val="both"/>
        <w:textAlignment w:val="baseline"/>
        <w:rPr>
          <w:lang w:val="en-GB"/>
        </w:rPr>
      </w:pPr>
      <w:bookmarkStart w:id="8" w:name="_Ref7523761"/>
      <w:r>
        <w:rPr>
          <w:lang w:val="en-GB"/>
        </w:rPr>
        <w:t>R4-1904154, “Workplan for Rel-16 NR-Unlicensed WI RRM work in RAN4”, Ericsson.</w:t>
      </w:r>
      <w:bookmarkEnd w:id="8"/>
    </w:p>
    <w:p w14:paraId="76209879" w14:textId="1ADD7559" w:rsidR="00C517AB" w:rsidRDefault="00C517AB" w:rsidP="00C517AB">
      <w:pPr>
        <w:numPr>
          <w:ilvl w:val="0"/>
          <w:numId w:val="1"/>
        </w:numPr>
        <w:overflowPunct w:val="0"/>
        <w:autoSpaceDE w:val="0"/>
        <w:autoSpaceDN w:val="0"/>
        <w:adjustRightInd w:val="0"/>
        <w:spacing w:after="120" w:line="240" w:lineRule="auto"/>
        <w:jc w:val="both"/>
        <w:textAlignment w:val="baseline"/>
        <w:rPr>
          <w:lang w:val="en-GB"/>
        </w:rPr>
      </w:pPr>
      <w:bookmarkStart w:id="9" w:name="_Ref7084905"/>
      <w:r w:rsidRPr="00954212">
        <w:rPr>
          <w:lang w:val="en-GB"/>
        </w:rPr>
        <w:t>R4-1904825</w:t>
      </w:r>
      <w:r>
        <w:rPr>
          <w:lang w:val="en-GB"/>
        </w:rPr>
        <w:t>,</w:t>
      </w:r>
      <w:r w:rsidRPr="00954212">
        <w:rPr>
          <w:lang w:val="en-GB"/>
        </w:rPr>
        <w:t xml:space="preserve"> WF on RRM requirements in NR-U</w:t>
      </w:r>
      <w:r>
        <w:rPr>
          <w:lang w:val="en-GB"/>
        </w:rPr>
        <w:t>, Ericsson, Nokia.</w:t>
      </w:r>
      <w:bookmarkEnd w:id="9"/>
    </w:p>
    <w:p w14:paraId="3CEBA6D5" w14:textId="124DF605" w:rsidR="00706198" w:rsidRDefault="00706198" w:rsidP="00C517AB">
      <w:pPr>
        <w:numPr>
          <w:ilvl w:val="0"/>
          <w:numId w:val="1"/>
        </w:numPr>
        <w:overflowPunct w:val="0"/>
        <w:autoSpaceDE w:val="0"/>
        <w:autoSpaceDN w:val="0"/>
        <w:adjustRightInd w:val="0"/>
        <w:spacing w:after="120" w:line="240" w:lineRule="auto"/>
        <w:jc w:val="both"/>
        <w:textAlignment w:val="baseline"/>
        <w:rPr>
          <w:lang w:val="en-GB"/>
        </w:rPr>
      </w:pPr>
      <w:bookmarkStart w:id="10" w:name="_Ref7529854"/>
      <w:r>
        <w:rPr>
          <w:lang w:val="en-GB"/>
        </w:rPr>
        <w:t>R2-1903655, Report of Email Discussion [105#48][NR-U] Connected mode measurements, Qualcomm.</w:t>
      </w:r>
      <w:bookmarkEnd w:id="10"/>
    </w:p>
    <w:p w14:paraId="53E3E599" w14:textId="01C712EB" w:rsidR="003E3825" w:rsidRDefault="003E3825" w:rsidP="00C517AB">
      <w:pPr>
        <w:numPr>
          <w:ilvl w:val="0"/>
          <w:numId w:val="1"/>
        </w:numPr>
        <w:overflowPunct w:val="0"/>
        <w:autoSpaceDE w:val="0"/>
        <w:autoSpaceDN w:val="0"/>
        <w:adjustRightInd w:val="0"/>
        <w:spacing w:after="120" w:line="240" w:lineRule="auto"/>
        <w:jc w:val="both"/>
        <w:textAlignment w:val="baseline"/>
        <w:rPr>
          <w:lang w:val="en-GB"/>
        </w:rPr>
      </w:pPr>
      <w:bookmarkStart w:id="11" w:name="_Ref7782872"/>
      <w:r>
        <w:rPr>
          <w:lang w:val="en-GB"/>
        </w:rPr>
        <w:t>R4-1903827, Discussion on NR-U impact on RRM requirements, Nokia.</w:t>
      </w:r>
      <w:bookmarkEnd w:id="11"/>
    </w:p>
    <w:p w14:paraId="06CCA1D7" w14:textId="694C06BA" w:rsidR="00035E84" w:rsidRPr="00C67D92" w:rsidRDefault="00035E84" w:rsidP="0083342A">
      <w:pPr>
        <w:overflowPunct w:val="0"/>
        <w:autoSpaceDE w:val="0"/>
        <w:autoSpaceDN w:val="0"/>
        <w:adjustRightInd w:val="0"/>
        <w:spacing w:after="120" w:line="240" w:lineRule="auto"/>
        <w:ind w:left="360"/>
        <w:jc w:val="both"/>
        <w:textAlignment w:val="baseline"/>
        <w:rPr>
          <w:lang w:val="en-GB"/>
        </w:rPr>
      </w:pPr>
    </w:p>
    <w:p w14:paraId="2D3A6E4E" w14:textId="77777777" w:rsidR="00687FA0" w:rsidRPr="00C67D92" w:rsidRDefault="00687FA0" w:rsidP="00C67D92">
      <w:pPr>
        <w:overflowPunct w:val="0"/>
        <w:autoSpaceDE w:val="0"/>
        <w:autoSpaceDN w:val="0"/>
        <w:adjustRightInd w:val="0"/>
        <w:spacing w:after="120" w:line="240" w:lineRule="auto"/>
        <w:jc w:val="both"/>
        <w:textAlignment w:val="baseline"/>
        <w:rPr>
          <w:lang w:val="en-GB"/>
        </w:rPr>
      </w:pPr>
    </w:p>
    <w:sectPr w:rsidR="00687FA0" w:rsidRPr="00C67D9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47B98" w14:textId="77777777" w:rsidR="00587948" w:rsidRDefault="00587948" w:rsidP="00001C9B">
      <w:pPr>
        <w:spacing w:after="0" w:line="240" w:lineRule="auto"/>
      </w:pPr>
      <w:r>
        <w:separator/>
      </w:r>
    </w:p>
  </w:endnote>
  <w:endnote w:type="continuationSeparator" w:id="0">
    <w:p w14:paraId="3B3DEB19" w14:textId="77777777" w:rsidR="00587948" w:rsidRDefault="00587948" w:rsidP="00001C9B">
      <w:pPr>
        <w:spacing w:after="0" w:line="240" w:lineRule="auto"/>
      </w:pPr>
      <w:r>
        <w:continuationSeparator/>
      </w:r>
    </w:p>
  </w:endnote>
  <w:endnote w:type="continuationNotice" w:id="1">
    <w:p w14:paraId="72A24FE8" w14:textId="77777777" w:rsidR="00587948" w:rsidRDefault="005879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CDD8F" w14:textId="77777777" w:rsidR="00587948" w:rsidRDefault="00587948" w:rsidP="00001C9B">
      <w:pPr>
        <w:spacing w:after="0" w:line="240" w:lineRule="auto"/>
      </w:pPr>
      <w:r>
        <w:separator/>
      </w:r>
    </w:p>
  </w:footnote>
  <w:footnote w:type="continuationSeparator" w:id="0">
    <w:p w14:paraId="3E4707A5" w14:textId="77777777" w:rsidR="00587948" w:rsidRDefault="00587948" w:rsidP="00001C9B">
      <w:pPr>
        <w:spacing w:after="0" w:line="240" w:lineRule="auto"/>
      </w:pPr>
      <w:r>
        <w:continuationSeparator/>
      </w:r>
    </w:p>
  </w:footnote>
  <w:footnote w:type="continuationNotice" w:id="1">
    <w:p w14:paraId="1AE8EC73" w14:textId="77777777" w:rsidR="00587948" w:rsidRDefault="005879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DA6C37"/>
    <w:multiLevelType w:val="multilevel"/>
    <w:tmpl w:val="6F300D2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C4C09FC2"/>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56" w:hanging="360"/>
      </w:pPr>
    </w:lvl>
    <w:lvl w:ilvl="2" w:tplc="0409001B" w:tentative="1">
      <w:start w:val="1"/>
      <w:numFmt w:val="lowerRoman"/>
      <w:lvlText w:val="%3."/>
      <w:lvlJc w:val="right"/>
      <w:pPr>
        <w:ind w:left="1276" w:hanging="180"/>
      </w:pPr>
    </w:lvl>
    <w:lvl w:ilvl="3" w:tplc="0409000F" w:tentative="1">
      <w:start w:val="1"/>
      <w:numFmt w:val="decimal"/>
      <w:lvlText w:val="%4."/>
      <w:lvlJc w:val="left"/>
      <w:pPr>
        <w:ind w:left="1996" w:hanging="360"/>
      </w:pPr>
    </w:lvl>
    <w:lvl w:ilvl="4" w:tplc="04090019" w:tentative="1">
      <w:start w:val="1"/>
      <w:numFmt w:val="lowerLetter"/>
      <w:lvlText w:val="%5."/>
      <w:lvlJc w:val="left"/>
      <w:pPr>
        <w:ind w:left="2716" w:hanging="360"/>
      </w:pPr>
    </w:lvl>
    <w:lvl w:ilvl="5" w:tplc="0409001B" w:tentative="1">
      <w:start w:val="1"/>
      <w:numFmt w:val="lowerRoman"/>
      <w:lvlText w:val="%6."/>
      <w:lvlJc w:val="right"/>
      <w:pPr>
        <w:ind w:left="3436" w:hanging="180"/>
      </w:pPr>
    </w:lvl>
    <w:lvl w:ilvl="6" w:tplc="0409000F" w:tentative="1">
      <w:start w:val="1"/>
      <w:numFmt w:val="decimal"/>
      <w:lvlText w:val="%7."/>
      <w:lvlJc w:val="left"/>
      <w:pPr>
        <w:ind w:left="4156" w:hanging="360"/>
      </w:pPr>
    </w:lvl>
    <w:lvl w:ilvl="7" w:tplc="04090019" w:tentative="1">
      <w:start w:val="1"/>
      <w:numFmt w:val="lowerLetter"/>
      <w:lvlText w:val="%8."/>
      <w:lvlJc w:val="left"/>
      <w:pPr>
        <w:ind w:left="4876" w:hanging="360"/>
      </w:pPr>
    </w:lvl>
    <w:lvl w:ilvl="8" w:tplc="0409001B" w:tentative="1">
      <w:start w:val="1"/>
      <w:numFmt w:val="lowerRoman"/>
      <w:lvlText w:val="%9."/>
      <w:lvlJc w:val="right"/>
      <w:pPr>
        <w:ind w:left="5596" w:hanging="180"/>
      </w:pPr>
    </w:lvl>
  </w:abstractNum>
  <w:abstractNum w:abstractNumId="6" w15:restartNumberingAfterBreak="0">
    <w:nsid w:val="4D6E3167"/>
    <w:multiLevelType w:val="hybridMultilevel"/>
    <w:tmpl w:val="0A7A6258"/>
    <w:lvl w:ilvl="0" w:tplc="2E2A8DD8">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 w15:restartNumberingAfterBreak="0">
    <w:nsid w:val="759A6CDF"/>
    <w:multiLevelType w:val="multilevel"/>
    <w:tmpl w:val="C60C4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7"/>
  </w:num>
  <w:num w:numId="3">
    <w:abstractNumId w:val="5"/>
  </w:num>
  <w:num w:numId="4">
    <w:abstractNumId w:val="6"/>
  </w:num>
  <w:num w:numId="5">
    <w:abstractNumId w:val="3"/>
  </w:num>
  <w:num w:numId="6">
    <w:abstractNumId w:val="9"/>
  </w:num>
  <w:num w:numId="7">
    <w:abstractNumId w:val="8"/>
  </w:num>
  <w:num w:numId="8">
    <w:abstractNumId w:val="0"/>
  </w:num>
  <w:num w:numId="9">
    <w:abstractNumId w:val="2"/>
  </w:num>
  <w:num w:numId="10">
    <w:abstractNumId w:val="10"/>
  </w:num>
  <w:num w:numId="11">
    <w:abstractNumId w:val="10"/>
    <w:lvlOverride w:ilvl="1">
      <w:lvl w:ilvl="1">
        <w:numFmt w:val="bullet"/>
        <w:lvlText w:val="o"/>
        <w:lvlJc w:val="left"/>
        <w:pPr>
          <w:tabs>
            <w:tab w:val="num" w:pos="1440"/>
          </w:tabs>
          <w:ind w:left="1440" w:hanging="360"/>
        </w:pPr>
        <w:rPr>
          <w:rFonts w:ascii="Courier New" w:hAnsi="Courier New" w:hint="default"/>
          <w:sz w:val="20"/>
        </w:rPr>
      </w:lvl>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16DD"/>
    <w:rsid w:val="00014861"/>
    <w:rsid w:val="00017E8B"/>
    <w:rsid w:val="000355AE"/>
    <w:rsid w:val="00035E84"/>
    <w:rsid w:val="00043285"/>
    <w:rsid w:val="000476B6"/>
    <w:rsid w:val="00051F48"/>
    <w:rsid w:val="000574D6"/>
    <w:rsid w:val="00062F6B"/>
    <w:rsid w:val="0006590F"/>
    <w:rsid w:val="00073236"/>
    <w:rsid w:val="0007385D"/>
    <w:rsid w:val="0007547A"/>
    <w:rsid w:val="00080395"/>
    <w:rsid w:val="0008612A"/>
    <w:rsid w:val="00086C77"/>
    <w:rsid w:val="000926E7"/>
    <w:rsid w:val="000A5622"/>
    <w:rsid w:val="000B0056"/>
    <w:rsid w:val="000D5C4C"/>
    <w:rsid w:val="000E23A6"/>
    <w:rsid w:val="000E5003"/>
    <w:rsid w:val="000F2A39"/>
    <w:rsid w:val="000F4C1A"/>
    <w:rsid w:val="000F7435"/>
    <w:rsid w:val="001057E8"/>
    <w:rsid w:val="001108FE"/>
    <w:rsid w:val="001109F8"/>
    <w:rsid w:val="00117796"/>
    <w:rsid w:val="001209AC"/>
    <w:rsid w:val="0012444B"/>
    <w:rsid w:val="00124459"/>
    <w:rsid w:val="00130600"/>
    <w:rsid w:val="00140330"/>
    <w:rsid w:val="00142412"/>
    <w:rsid w:val="00143E75"/>
    <w:rsid w:val="00151A8D"/>
    <w:rsid w:val="0015341D"/>
    <w:rsid w:val="001622C4"/>
    <w:rsid w:val="00162FA0"/>
    <w:rsid w:val="001679DE"/>
    <w:rsid w:val="001745F8"/>
    <w:rsid w:val="00174AD3"/>
    <w:rsid w:val="0017501D"/>
    <w:rsid w:val="001838CF"/>
    <w:rsid w:val="0019220B"/>
    <w:rsid w:val="00192A0F"/>
    <w:rsid w:val="001958A2"/>
    <w:rsid w:val="00195E2B"/>
    <w:rsid w:val="001961B9"/>
    <w:rsid w:val="001A72C1"/>
    <w:rsid w:val="001B116F"/>
    <w:rsid w:val="001B2870"/>
    <w:rsid w:val="001D54CB"/>
    <w:rsid w:val="001E30F6"/>
    <w:rsid w:val="001E3EB3"/>
    <w:rsid w:val="001E659F"/>
    <w:rsid w:val="001F364B"/>
    <w:rsid w:val="001F6216"/>
    <w:rsid w:val="001F6C25"/>
    <w:rsid w:val="00200081"/>
    <w:rsid w:val="00202988"/>
    <w:rsid w:val="00202CDC"/>
    <w:rsid w:val="0020521B"/>
    <w:rsid w:val="00206975"/>
    <w:rsid w:val="0021156E"/>
    <w:rsid w:val="00214E5E"/>
    <w:rsid w:val="002267F3"/>
    <w:rsid w:val="00235F5C"/>
    <w:rsid w:val="00236D6F"/>
    <w:rsid w:val="00237A2C"/>
    <w:rsid w:val="00245F37"/>
    <w:rsid w:val="0024625B"/>
    <w:rsid w:val="00255E2C"/>
    <w:rsid w:val="002562FC"/>
    <w:rsid w:val="00273443"/>
    <w:rsid w:val="00280503"/>
    <w:rsid w:val="00282637"/>
    <w:rsid w:val="00284157"/>
    <w:rsid w:val="002853E1"/>
    <w:rsid w:val="002870BB"/>
    <w:rsid w:val="00287B2D"/>
    <w:rsid w:val="00295D0B"/>
    <w:rsid w:val="002A384C"/>
    <w:rsid w:val="002A4B7B"/>
    <w:rsid w:val="002A6280"/>
    <w:rsid w:val="002B26BF"/>
    <w:rsid w:val="002B4922"/>
    <w:rsid w:val="002B6964"/>
    <w:rsid w:val="002C2D19"/>
    <w:rsid w:val="002C4FA4"/>
    <w:rsid w:val="002C54F8"/>
    <w:rsid w:val="002D0A10"/>
    <w:rsid w:val="002D10FA"/>
    <w:rsid w:val="002D2A2F"/>
    <w:rsid w:val="002D44E3"/>
    <w:rsid w:val="002D4C55"/>
    <w:rsid w:val="002F1542"/>
    <w:rsid w:val="0032066B"/>
    <w:rsid w:val="00333C93"/>
    <w:rsid w:val="00334C4B"/>
    <w:rsid w:val="00336CAE"/>
    <w:rsid w:val="00343C51"/>
    <w:rsid w:val="00351119"/>
    <w:rsid w:val="00362C68"/>
    <w:rsid w:val="00376F54"/>
    <w:rsid w:val="003776D8"/>
    <w:rsid w:val="0038046E"/>
    <w:rsid w:val="00384776"/>
    <w:rsid w:val="00391337"/>
    <w:rsid w:val="00391A23"/>
    <w:rsid w:val="003A2CBA"/>
    <w:rsid w:val="003B03F3"/>
    <w:rsid w:val="003B2E8E"/>
    <w:rsid w:val="003B659E"/>
    <w:rsid w:val="003B7ACC"/>
    <w:rsid w:val="003C2C76"/>
    <w:rsid w:val="003C46D1"/>
    <w:rsid w:val="003C6693"/>
    <w:rsid w:val="003D6875"/>
    <w:rsid w:val="003E0127"/>
    <w:rsid w:val="003E3825"/>
    <w:rsid w:val="003E508A"/>
    <w:rsid w:val="003E5526"/>
    <w:rsid w:val="003E5C9D"/>
    <w:rsid w:val="003F4960"/>
    <w:rsid w:val="003F5961"/>
    <w:rsid w:val="003F7E7B"/>
    <w:rsid w:val="004001CA"/>
    <w:rsid w:val="00423A76"/>
    <w:rsid w:val="0043750A"/>
    <w:rsid w:val="004573AB"/>
    <w:rsid w:val="00460827"/>
    <w:rsid w:val="0046167E"/>
    <w:rsid w:val="00473F14"/>
    <w:rsid w:val="00475300"/>
    <w:rsid w:val="004765AE"/>
    <w:rsid w:val="0048457F"/>
    <w:rsid w:val="00490412"/>
    <w:rsid w:val="00493619"/>
    <w:rsid w:val="0049704C"/>
    <w:rsid w:val="004A1821"/>
    <w:rsid w:val="004A1E51"/>
    <w:rsid w:val="004A3F24"/>
    <w:rsid w:val="004B3327"/>
    <w:rsid w:val="004B4607"/>
    <w:rsid w:val="004B4DEA"/>
    <w:rsid w:val="004B7E0A"/>
    <w:rsid w:val="004C1A5B"/>
    <w:rsid w:val="004C248A"/>
    <w:rsid w:val="004C2FE1"/>
    <w:rsid w:val="004D025F"/>
    <w:rsid w:val="004D1556"/>
    <w:rsid w:val="004D2FC5"/>
    <w:rsid w:val="004D3E07"/>
    <w:rsid w:val="004D55CE"/>
    <w:rsid w:val="004E20FA"/>
    <w:rsid w:val="004E555B"/>
    <w:rsid w:val="004E5E66"/>
    <w:rsid w:val="005032C3"/>
    <w:rsid w:val="00503B4D"/>
    <w:rsid w:val="00504EE9"/>
    <w:rsid w:val="00511D00"/>
    <w:rsid w:val="005318D1"/>
    <w:rsid w:val="005343AA"/>
    <w:rsid w:val="005440B8"/>
    <w:rsid w:val="0054442C"/>
    <w:rsid w:val="00550285"/>
    <w:rsid w:val="005505C2"/>
    <w:rsid w:val="00554227"/>
    <w:rsid w:val="00556D62"/>
    <w:rsid w:val="0056348E"/>
    <w:rsid w:val="00581548"/>
    <w:rsid w:val="005836F8"/>
    <w:rsid w:val="005847F4"/>
    <w:rsid w:val="00585575"/>
    <w:rsid w:val="00587208"/>
    <w:rsid w:val="00587948"/>
    <w:rsid w:val="0059230A"/>
    <w:rsid w:val="005937A3"/>
    <w:rsid w:val="005A1915"/>
    <w:rsid w:val="005A1E00"/>
    <w:rsid w:val="005A2904"/>
    <w:rsid w:val="005A71E8"/>
    <w:rsid w:val="005C12DF"/>
    <w:rsid w:val="005D10B4"/>
    <w:rsid w:val="005D2622"/>
    <w:rsid w:val="005D3CA8"/>
    <w:rsid w:val="005D5522"/>
    <w:rsid w:val="005D659D"/>
    <w:rsid w:val="005E23C5"/>
    <w:rsid w:val="005E3768"/>
    <w:rsid w:val="005E3838"/>
    <w:rsid w:val="005E5408"/>
    <w:rsid w:val="005E61A8"/>
    <w:rsid w:val="005E7767"/>
    <w:rsid w:val="005E7A8F"/>
    <w:rsid w:val="005F289B"/>
    <w:rsid w:val="005F2D31"/>
    <w:rsid w:val="005F2DE7"/>
    <w:rsid w:val="005F6419"/>
    <w:rsid w:val="00601C25"/>
    <w:rsid w:val="00603F7B"/>
    <w:rsid w:val="00617400"/>
    <w:rsid w:val="00617DA3"/>
    <w:rsid w:val="00625942"/>
    <w:rsid w:val="0063449F"/>
    <w:rsid w:val="00657320"/>
    <w:rsid w:val="00664950"/>
    <w:rsid w:val="0066617A"/>
    <w:rsid w:val="00683220"/>
    <w:rsid w:val="00683CB8"/>
    <w:rsid w:val="00687FA0"/>
    <w:rsid w:val="006A7876"/>
    <w:rsid w:val="006B7010"/>
    <w:rsid w:val="006C3421"/>
    <w:rsid w:val="006C4CD2"/>
    <w:rsid w:val="006C645C"/>
    <w:rsid w:val="006D241A"/>
    <w:rsid w:val="006D70D8"/>
    <w:rsid w:val="006D7B45"/>
    <w:rsid w:val="006E3B4A"/>
    <w:rsid w:val="006E7AF0"/>
    <w:rsid w:val="006F61EC"/>
    <w:rsid w:val="00703052"/>
    <w:rsid w:val="007041B5"/>
    <w:rsid w:val="0070502B"/>
    <w:rsid w:val="0070580A"/>
    <w:rsid w:val="00706198"/>
    <w:rsid w:val="00707D4C"/>
    <w:rsid w:val="00711292"/>
    <w:rsid w:val="007145FF"/>
    <w:rsid w:val="0071616D"/>
    <w:rsid w:val="00716C73"/>
    <w:rsid w:val="0071784F"/>
    <w:rsid w:val="0072415A"/>
    <w:rsid w:val="007430CA"/>
    <w:rsid w:val="0074427A"/>
    <w:rsid w:val="00747E34"/>
    <w:rsid w:val="0075150C"/>
    <w:rsid w:val="00751515"/>
    <w:rsid w:val="007527C1"/>
    <w:rsid w:val="0075490C"/>
    <w:rsid w:val="007578E8"/>
    <w:rsid w:val="0076280D"/>
    <w:rsid w:val="00762FFD"/>
    <w:rsid w:val="00783B71"/>
    <w:rsid w:val="00785232"/>
    <w:rsid w:val="00793970"/>
    <w:rsid w:val="007A15EE"/>
    <w:rsid w:val="007A306D"/>
    <w:rsid w:val="007A5F1D"/>
    <w:rsid w:val="007A61B3"/>
    <w:rsid w:val="007B28BE"/>
    <w:rsid w:val="007C1DCC"/>
    <w:rsid w:val="007C3A0E"/>
    <w:rsid w:val="007C3ED0"/>
    <w:rsid w:val="007D2289"/>
    <w:rsid w:val="007D3D33"/>
    <w:rsid w:val="007E406E"/>
    <w:rsid w:val="008040B8"/>
    <w:rsid w:val="00806A76"/>
    <w:rsid w:val="00811C9D"/>
    <w:rsid w:val="00814EF4"/>
    <w:rsid w:val="00816C80"/>
    <w:rsid w:val="0082015A"/>
    <w:rsid w:val="00825BAF"/>
    <w:rsid w:val="0082641B"/>
    <w:rsid w:val="00826A94"/>
    <w:rsid w:val="0083342A"/>
    <w:rsid w:val="00841BCD"/>
    <w:rsid w:val="0085201A"/>
    <w:rsid w:val="00864992"/>
    <w:rsid w:val="008658D5"/>
    <w:rsid w:val="00870CCB"/>
    <w:rsid w:val="00871019"/>
    <w:rsid w:val="008826C1"/>
    <w:rsid w:val="00886AF2"/>
    <w:rsid w:val="0089227B"/>
    <w:rsid w:val="00894DBC"/>
    <w:rsid w:val="00894F68"/>
    <w:rsid w:val="008A4AC4"/>
    <w:rsid w:val="008A69EC"/>
    <w:rsid w:val="008A6D84"/>
    <w:rsid w:val="008B1670"/>
    <w:rsid w:val="008B2312"/>
    <w:rsid w:val="008B5B38"/>
    <w:rsid w:val="008C7844"/>
    <w:rsid w:val="008D0338"/>
    <w:rsid w:val="008D5AF1"/>
    <w:rsid w:val="008E0A1C"/>
    <w:rsid w:val="008E31F8"/>
    <w:rsid w:val="008E67FB"/>
    <w:rsid w:val="008F5164"/>
    <w:rsid w:val="008F7B6B"/>
    <w:rsid w:val="009042BD"/>
    <w:rsid w:val="00910B17"/>
    <w:rsid w:val="009141BA"/>
    <w:rsid w:val="00915C60"/>
    <w:rsid w:val="00923241"/>
    <w:rsid w:val="00925178"/>
    <w:rsid w:val="00926655"/>
    <w:rsid w:val="0093021E"/>
    <w:rsid w:val="009375F7"/>
    <w:rsid w:val="00943983"/>
    <w:rsid w:val="00960417"/>
    <w:rsid w:val="00960F25"/>
    <w:rsid w:val="00961D90"/>
    <w:rsid w:val="0096398E"/>
    <w:rsid w:val="00963B53"/>
    <w:rsid w:val="00966E36"/>
    <w:rsid w:val="00970CF3"/>
    <w:rsid w:val="00970D3C"/>
    <w:rsid w:val="00971A14"/>
    <w:rsid w:val="00975A16"/>
    <w:rsid w:val="00976113"/>
    <w:rsid w:val="00977E1D"/>
    <w:rsid w:val="00980373"/>
    <w:rsid w:val="00982A88"/>
    <w:rsid w:val="00985535"/>
    <w:rsid w:val="00996A54"/>
    <w:rsid w:val="009A2D2B"/>
    <w:rsid w:val="009B227B"/>
    <w:rsid w:val="009B602E"/>
    <w:rsid w:val="009B6C1A"/>
    <w:rsid w:val="009D341F"/>
    <w:rsid w:val="009E34DF"/>
    <w:rsid w:val="009F0431"/>
    <w:rsid w:val="009F0FAF"/>
    <w:rsid w:val="009F243A"/>
    <w:rsid w:val="00A020F4"/>
    <w:rsid w:val="00A1678F"/>
    <w:rsid w:val="00A17B37"/>
    <w:rsid w:val="00A21230"/>
    <w:rsid w:val="00A22B78"/>
    <w:rsid w:val="00A2461A"/>
    <w:rsid w:val="00A25AE5"/>
    <w:rsid w:val="00A313E5"/>
    <w:rsid w:val="00A409BB"/>
    <w:rsid w:val="00A42663"/>
    <w:rsid w:val="00A460FA"/>
    <w:rsid w:val="00A52249"/>
    <w:rsid w:val="00A5246B"/>
    <w:rsid w:val="00A625A6"/>
    <w:rsid w:val="00A736F6"/>
    <w:rsid w:val="00A7717A"/>
    <w:rsid w:val="00A832D5"/>
    <w:rsid w:val="00A870E2"/>
    <w:rsid w:val="00A907CB"/>
    <w:rsid w:val="00A90E3B"/>
    <w:rsid w:val="00A91648"/>
    <w:rsid w:val="00A96327"/>
    <w:rsid w:val="00AA08C9"/>
    <w:rsid w:val="00AA1B0E"/>
    <w:rsid w:val="00AA1C6E"/>
    <w:rsid w:val="00AA2FE5"/>
    <w:rsid w:val="00AA6DBC"/>
    <w:rsid w:val="00AB06D5"/>
    <w:rsid w:val="00AC03EC"/>
    <w:rsid w:val="00AC4389"/>
    <w:rsid w:val="00AC5CA7"/>
    <w:rsid w:val="00AC7172"/>
    <w:rsid w:val="00AD1216"/>
    <w:rsid w:val="00AF0857"/>
    <w:rsid w:val="00AF21F5"/>
    <w:rsid w:val="00B0082E"/>
    <w:rsid w:val="00B13C57"/>
    <w:rsid w:val="00B14CF0"/>
    <w:rsid w:val="00B16B9B"/>
    <w:rsid w:val="00B171F0"/>
    <w:rsid w:val="00B23C25"/>
    <w:rsid w:val="00B25E76"/>
    <w:rsid w:val="00B27CEF"/>
    <w:rsid w:val="00B308E7"/>
    <w:rsid w:val="00B31965"/>
    <w:rsid w:val="00B31CD5"/>
    <w:rsid w:val="00B31E9A"/>
    <w:rsid w:val="00B34766"/>
    <w:rsid w:val="00B41953"/>
    <w:rsid w:val="00B4460A"/>
    <w:rsid w:val="00B469B2"/>
    <w:rsid w:val="00B51DCE"/>
    <w:rsid w:val="00B65F6D"/>
    <w:rsid w:val="00B72BC9"/>
    <w:rsid w:val="00B767A1"/>
    <w:rsid w:val="00B8554B"/>
    <w:rsid w:val="00B96DA3"/>
    <w:rsid w:val="00BA12A1"/>
    <w:rsid w:val="00BA2BD8"/>
    <w:rsid w:val="00BA6E48"/>
    <w:rsid w:val="00BB213E"/>
    <w:rsid w:val="00BB6036"/>
    <w:rsid w:val="00BC0518"/>
    <w:rsid w:val="00BC20DA"/>
    <w:rsid w:val="00BC4263"/>
    <w:rsid w:val="00BC4539"/>
    <w:rsid w:val="00BC6ADB"/>
    <w:rsid w:val="00BC7C70"/>
    <w:rsid w:val="00BD149A"/>
    <w:rsid w:val="00BD1516"/>
    <w:rsid w:val="00BD34B0"/>
    <w:rsid w:val="00BE350B"/>
    <w:rsid w:val="00BE37FB"/>
    <w:rsid w:val="00BE3E89"/>
    <w:rsid w:val="00BE5F1B"/>
    <w:rsid w:val="00BF2218"/>
    <w:rsid w:val="00C07FAE"/>
    <w:rsid w:val="00C12E65"/>
    <w:rsid w:val="00C14AFE"/>
    <w:rsid w:val="00C219F1"/>
    <w:rsid w:val="00C27CD5"/>
    <w:rsid w:val="00C47463"/>
    <w:rsid w:val="00C517AB"/>
    <w:rsid w:val="00C52E17"/>
    <w:rsid w:val="00C67D92"/>
    <w:rsid w:val="00CA22D5"/>
    <w:rsid w:val="00CA6ADC"/>
    <w:rsid w:val="00CB24C3"/>
    <w:rsid w:val="00CB5A09"/>
    <w:rsid w:val="00CC012F"/>
    <w:rsid w:val="00CC2C6A"/>
    <w:rsid w:val="00CC470A"/>
    <w:rsid w:val="00CD7492"/>
    <w:rsid w:val="00CE2443"/>
    <w:rsid w:val="00CE3A6B"/>
    <w:rsid w:val="00CF4364"/>
    <w:rsid w:val="00CF4F06"/>
    <w:rsid w:val="00D00211"/>
    <w:rsid w:val="00D01D07"/>
    <w:rsid w:val="00D03530"/>
    <w:rsid w:val="00D06309"/>
    <w:rsid w:val="00D12838"/>
    <w:rsid w:val="00D34988"/>
    <w:rsid w:val="00D349DC"/>
    <w:rsid w:val="00D351EA"/>
    <w:rsid w:val="00D354C4"/>
    <w:rsid w:val="00D35594"/>
    <w:rsid w:val="00D370E7"/>
    <w:rsid w:val="00D43403"/>
    <w:rsid w:val="00D53298"/>
    <w:rsid w:val="00D62E71"/>
    <w:rsid w:val="00D631D8"/>
    <w:rsid w:val="00D7262A"/>
    <w:rsid w:val="00D740CA"/>
    <w:rsid w:val="00D76FC6"/>
    <w:rsid w:val="00D85728"/>
    <w:rsid w:val="00D91DE2"/>
    <w:rsid w:val="00DB5EE5"/>
    <w:rsid w:val="00DD0A73"/>
    <w:rsid w:val="00DD0B22"/>
    <w:rsid w:val="00DD2137"/>
    <w:rsid w:val="00DE2B60"/>
    <w:rsid w:val="00DE35F7"/>
    <w:rsid w:val="00DE5AC9"/>
    <w:rsid w:val="00DE5F01"/>
    <w:rsid w:val="00DF0B7B"/>
    <w:rsid w:val="00DF2997"/>
    <w:rsid w:val="00DF3435"/>
    <w:rsid w:val="00DF3461"/>
    <w:rsid w:val="00E0198A"/>
    <w:rsid w:val="00E15BED"/>
    <w:rsid w:val="00E247CC"/>
    <w:rsid w:val="00E3080C"/>
    <w:rsid w:val="00E30ADB"/>
    <w:rsid w:val="00E403A7"/>
    <w:rsid w:val="00E50C7F"/>
    <w:rsid w:val="00E61110"/>
    <w:rsid w:val="00E72B96"/>
    <w:rsid w:val="00E8590A"/>
    <w:rsid w:val="00E86FB4"/>
    <w:rsid w:val="00EA0C50"/>
    <w:rsid w:val="00EA2462"/>
    <w:rsid w:val="00EA2CB2"/>
    <w:rsid w:val="00EA3B6F"/>
    <w:rsid w:val="00EC0BD8"/>
    <w:rsid w:val="00EC184E"/>
    <w:rsid w:val="00EC2A9C"/>
    <w:rsid w:val="00EC5ABF"/>
    <w:rsid w:val="00EC5F4D"/>
    <w:rsid w:val="00EC7BC3"/>
    <w:rsid w:val="00ED17D0"/>
    <w:rsid w:val="00ED7600"/>
    <w:rsid w:val="00EE51C7"/>
    <w:rsid w:val="00EE6D2F"/>
    <w:rsid w:val="00EF3E91"/>
    <w:rsid w:val="00EF7C9F"/>
    <w:rsid w:val="00F0018E"/>
    <w:rsid w:val="00F04C45"/>
    <w:rsid w:val="00F0628F"/>
    <w:rsid w:val="00F1362C"/>
    <w:rsid w:val="00F21A14"/>
    <w:rsid w:val="00F224D6"/>
    <w:rsid w:val="00F421DD"/>
    <w:rsid w:val="00F4761D"/>
    <w:rsid w:val="00F64578"/>
    <w:rsid w:val="00F72507"/>
    <w:rsid w:val="00F72ED0"/>
    <w:rsid w:val="00F824F5"/>
    <w:rsid w:val="00F84643"/>
    <w:rsid w:val="00F84BA1"/>
    <w:rsid w:val="00F95D1B"/>
    <w:rsid w:val="00FA3135"/>
    <w:rsid w:val="00FA3537"/>
    <w:rsid w:val="00FA5814"/>
    <w:rsid w:val="00FA7959"/>
    <w:rsid w:val="00FB3E7A"/>
    <w:rsid w:val="00FB49DD"/>
    <w:rsid w:val="00FC138C"/>
    <w:rsid w:val="00FC1E8B"/>
    <w:rsid w:val="00FC29B9"/>
    <w:rsid w:val="00FC6004"/>
    <w:rsid w:val="00FC6FD3"/>
    <w:rsid w:val="00FC76A3"/>
    <w:rsid w:val="00FC7853"/>
    <w:rsid w:val="00FD2D1E"/>
    <w:rsid w:val="00FD4FC6"/>
    <w:rsid w:val="00FD7741"/>
    <w:rsid w:val="00FE616E"/>
    <w:rsid w:val="00FF2E71"/>
    <w:rsid w:val="00FF6C99"/>
    <w:rsid w:val="09B3759D"/>
    <w:rsid w:val="11FABD2C"/>
    <w:rsid w:val="30B6439F"/>
    <w:rsid w:val="3AB671B9"/>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09CB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6"/>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7"/>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1892961219">
                                                                                  <w:marLeft w:val="0"/>
                                                                                  <w:marRight w:val="0"/>
                                                                                  <w:marTop w:val="0"/>
                                                                                  <w:marBottom w:val="0"/>
                                                                                  <w:divBdr>
                                                                                    <w:top w:val="none" w:sz="0" w:space="0" w:color="auto"/>
                                                                                    <w:left w:val="none" w:sz="0" w:space="0" w:color="auto"/>
                                                                                    <w:bottom w:val="none" w:sz="0" w:space="0" w:color="auto"/>
                                                                                    <w:right w:val="none" w:sz="0" w:space="0" w:color="auto"/>
                                                                                  </w:divBdr>
                                                                                </w:div>
                                                                                <w:div w:id="66710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1983151213">
                                                                                      <w:marLeft w:val="0"/>
                                                                                      <w:marRight w:val="0"/>
                                                                                      <w:marTop w:val="0"/>
                                                                                      <w:marBottom w:val="0"/>
                                                                                      <w:divBdr>
                                                                                        <w:top w:val="none" w:sz="0" w:space="0" w:color="auto"/>
                                                                                        <w:left w:val="none" w:sz="0" w:space="0" w:color="auto"/>
                                                                                        <w:bottom w:val="none" w:sz="0" w:space="0" w:color="auto"/>
                                                                                        <w:right w:val="none" w:sz="0" w:space="0" w:color="auto"/>
                                                                                      </w:divBdr>
                                                                                    </w:div>
                                                                                    <w:div w:id="9817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2064477670">
                                                                                      <w:marLeft w:val="0"/>
                                                                                      <w:marRight w:val="0"/>
                                                                                      <w:marTop w:val="0"/>
                                                                                      <w:marBottom w:val="0"/>
                                                                                      <w:divBdr>
                                                                                        <w:top w:val="none" w:sz="0" w:space="0" w:color="auto"/>
                                                                                        <w:left w:val="none" w:sz="0" w:space="0" w:color="auto"/>
                                                                                        <w:bottom w:val="none" w:sz="0" w:space="0" w:color="auto"/>
                                                                                        <w:right w:val="none" w:sz="0" w:space="0" w:color="auto"/>
                                                                                      </w:divBdr>
                                                                                    </w:div>
                                                                                    <w:div w:id="707951172">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5AIRPNAIUNRU-1328258698-483</_dlc_DocId>
    <_dlc_DocIdUrl xmlns="71c5aaf6-e6ce-465b-b873-5148d2a4c105">
      <Url>https://nokia.sharepoint.com/sites/c5g/5gradio/_layouts/15/DocIdRedir.aspx?ID=5AIRPNAIUNRU-1328258698-483</Url>
      <Description>5AIRPNAIUNRU-1328258698-483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2.xml><?xml version="1.0" encoding="utf-8"?>
<ds:datastoreItem xmlns:ds="http://schemas.openxmlformats.org/officeDocument/2006/customXml" ds:itemID="{5E5A2554-EA39-4017-9242-BDD11D27752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89F863C-0DB0-4A16-BA04-B6845BD46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5.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6.xml><?xml version="1.0" encoding="utf-8"?>
<ds:datastoreItem xmlns:ds="http://schemas.openxmlformats.org/officeDocument/2006/customXml" ds:itemID="{87EF79D5-C1AC-4293-8C6E-685C67969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1936</Words>
  <Characters>11813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Almeida, Erika (Nokia - DK/Aalborg)</cp:lastModifiedBy>
  <cp:revision>3</cp:revision>
  <cp:lastPrinted>2019-04-01T08:54:00Z</cp:lastPrinted>
  <dcterms:created xsi:type="dcterms:W3CDTF">2019-05-03T14:59:00Z</dcterms:created>
  <dcterms:modified xsi:type="dcterms:W3CDTF">2019-05-03T15:04:00Z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2b7923d0-5506-4e41-b633-426d124c37fb</vt:lpwstr>
  </property>
  <property fmtid="{D5CDD505-2E9C-101B-9397-08002B2CF9AE}" pid="4" name="AuthorIds_UIVersion_512">
    <vt:lpwstr>18279</vt:lpwstr>
  </property>
</Properties>
</file>